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56B5F" w14:textId="77777777" w:rsidR="00206DAB" w:rsidRPr="00A46DA6" w:rsidRDefault="00206DAB" w:rsidP="00206DA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hu-HU"/>
        </w:rPr>
      </w:pPr>
      <w:r w:rsidRPr="00A46DA6">
        <w:rPr>
          <w:rFonts w:ascii="Arial" w:eastAsia="Times New Roman" w:hAnsi="Arial" w:cs="Arial"/>
          <w:sz w:val="45"/>
          <w:szCs w:val="45"/>
          <w:lang w:eastAsia="hu-HU"/>
        </w:rPr>
        <w:t>Általános Szerződéses Feltételek (ÁSZF)</w:t>
      </w:r>
    </w:p>
    <w:p w14:paraId="23156B60" w14:textId="77777777" w:rsidR="00A46DA6" w:rsidRDefault="00A46DA6" w:rsidP="00A46DA6">
      <w:pPr>
        <w:spacing w:after="0" w:line="240" w:lineRule="auto"/>
        <w:outlineLvl w:val="1"/>
        <w:rPr>
          <w:rFonts w:ascii="Arial" w:eastAsia="Times New Roman" w:hAnsi="Arial" w:cs="Arial"/>
          <w:sz w:val="45"/>
          <w:szCs w:val="45"/>
          <w:lang w:eastAsia="hu-HU"/>
        </w:rPr>
      </w:pPr>
    </w:p>
    <w:p w14:paraId="23156B61" w14:textId="77777777" w:rsidR="00A46DA6" w:rsidRPr="00A46DA6" w:rsidRDefault="00A46DA6" w:rsidP="00A46DA6">
      <w:pPr>
        <w:spacing w:after="0" w:line="240" w:lineRule="auto"/>
        <w:outlineLvl w:val="1"/>
        <w:rPr>
          <w:rFonts w:ascii="Arial" w:eastAsia="Times New Roman" w:hAnsi="Arial" w:cs="Arial"/>
          <w:sz w:val="32"/>
          <w:szCs w:val="32"/>
          <w:lang w:eastAsia="hu-HU"/>
        </w:rPr>
      </w:pPr>
      <w:r>
        <w:rPr>
          <w:rFonts w:ascii="Arial" w:eastAsia="Times New Roman" w:hAnsi="Arial" w:cs="Arial"/>
          <w:sz w:val="32"/>
          <w:szCs w:val="32"/>
          <w:lang w:eastAsia="hu-HU"/>
        </w:rPr>
        <w:t xml:space="preserve">Az </w:t>
      </w:r>
      <w:r w:rsidRPr="00A46DA6">
        <w:rPr>
          <w:rFonts w:ascii="Arial" w:eastAsia="Times New Roman" w:hAnsi="Arial" w:cs="Arial"/>
          <w:sz w:val="32"/>
          <w:szCs w:val="32"/>
          <w:lang w:eastAsia="hu-HU"/>
        </w:rPr>
        <w:t>Üzemeltető általános adatai:</w:t>
      </w:r>
    </w:p>
    <w:p w14:paraId="23156B62" w14:textId="77777777" w:rsidR="00A46DA6" w:rsidRDefault="00A46DA6" w:rsidP="00206DA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45"/>
          <w:szCs w:val="45"/>
          <w:lang w:eastAsia="hu-HU"/>
        </w:rPr>
      </w:pPr>
    </w:p>
    <w:tbl>
      <w:tblPr>
        <w:tblStyle w:val="Rcsostblzat"/>
        <w:tblW w:w="9062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877"/>
        <w:gridCol w:w="4185"/>
      </w:tblGrid>
      <w:tr w:rsidR="00A46DA6" w:rsidRPr="005C0322" w14:paraId="23156B65" w14:textId="77777777" w:rsidTr="009D0465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B63" w14:textId="77777777" w:rsidR="00A46DA6" w:rsidRPr="005C0322" w:rsidRDefault="00A46DA6" w:rsidP="009D0465">
            <w:pPr>
              <w:pStyle w:val="Nincstrkz"/>
              <w:rPr>
                <w:rFonts w:eastAsia="Times New Roman"/>
                <w:b/>
                <w:color w:val="auto"/>
                <w:lang w:eastAsia="zh-CN"/>
              </w:rPr>
            </w:pPr>
            <w:r>
              <w:rPr>
                <w:b/>
                <w:color w:val="auto"/>
                <w:lang w:eastAsia="zh-CN"/>
              </w:rPr>
              <w:t>Név: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B64" w14:textId="28664829" w:rsidR="00A46DA6" w:rsidRPr="005C0322" w:rsidRDefault="00A46DA6" w:rsidP="009D0465">
            <w:pPr>
              <w:pStyle w:val="Nincstrkz"/>
              <w:rPr>
                <w:b/>
                <w:color w:val="auto"/>
                <w:lang w:eastAsia="zh-CN"/>
              </w:rPr>
            </w:pPr>
            <w:r w:rsidRPr="005C0322">
              <w:rPr>
                <w:b/>
                <w:color w:val="auto"/>
                <w:lang w:eastAsia="zh-CN"/>
              </w:rPr>
              <w:t>Yolle-parking Kft.</w:t>
            </w:r>
          </w:p>
        </w:tc>
      </w:tr>
      <w:tr w:rsidR="00A46DA6" w:rsidRPr="005C0322" w14:paraId="23156B68" w14:textId="77777777" w:rsidTr="009D0465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B66" w14:textId="77777777" w:rsidR="00A46DA6" w:rsidRPr="005C0322" w:rsidRDefault="00A46DA6" w:rsidP="009D0465">
            <w:pPr>
              <w:pStyle w:val="Nincstrkz"/>
              <w:rPr>
                <w:color w:val="auto"/>
                <w:lang w:eastAsia="zh-CN"/>
              </w:rPr>
            </w:pPr>
            <w:r w:rsidRPr="005C0322">
              <w:rPr>
                <w:color w:val="auto"/>
                <w:lang w:eastAsia="zh-CN"/>
              </w:rPr>
              <w:t>Székhelye (postai címe):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B67" w14:textId="77777777" w:rsidR="00A46DA6" w:rsidRPr="005C0322" w:rsidRDefault="00A46DA6" w:rsidP="009D0465">
            <w:pPr>
              <w:pStyle w:val="Nincstrkz"/>
              <w:rPr>
                <w:color w:val="auto"/>
                <w:lang w:eastAsia="zh-CN"/>
              </w:rPr>
            </w:pPr>
            <w:r w:rsidRPr="005C0322">
              <w:rPr>
                <w:rFonts w:eastAsiaTheme="minorHAnsi"/>
                <w:color w:val="auto"/>
                <w:lang w:eastAsia="zh-CN"/>
              </w:rPr>
              <w:t>8600 Siófok, Jubileum tér 6.</w:t>
            </w:r>
          </w:p>
        </w:tc>
      </w:tr>
      <w:tr w:rsidR="00961268" w:rsidRPr="005C0322" w14:paraId="35BDA937" w14:textId="77777777" w:rsidTr="009D0465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94F9" w14:textId="3F2237F1" w:rsidR="00961268" w:rsidRPr="005C0322" w:rsidRDefault="00961268" w:rsidP="009D0465">
            <w:pPr>
              <w:pStyle w:val="Nincstrkz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Szálláshely elnevezése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EF7F" w14:textId="6B73AA92" w:rsidR="00961268" w:rsidRPr="00961268" w:rsidRDefault="00961268" w:rsidP="009D0465">
            <w:pPr>
              <w:pStyle w:val="Nincstrkz"/>
              <w:rPr>
                <w:rFonts w:eastAsiaTheme="minorHAnsi"/>
                <w:b/>
                <w:bCs/>
                <w:color w:val="auto"/>
                <w:lang w:eastAsia="zh-CN"/>
              </w:rPr>
            </w:pPr>
            <w:r w:rsidRPr="00961268">
              <w:rPr>
                <w:rFonts w:eastAsiaTheme="minorHAnsi"/>
                <w:b/>
                <w:bCs/>
                <w:color w:val="auto"/>
                <w:lang w:eastAsia="zh-CN"/>
              </w:rPr>
              <w:t xml:space="preserve">Calypso </w:t>
            </w:r>
            <w:proofErr w:type="spellStart"/>
            <w:r w:rsidRPr="00961268">
              <w:rPr>
                <w:rFonts w:eastAsiaTheme="minorHAnsi"/>
                <w:b/>
                <w:bCs/>
                <w:color w:val="auto"/>
                <w:lang w:eastAsia="zh-CN"/>
              </w:rPr>
              <w:t>Lakeside</w:t>
            </w:r>
            <w:proofErr w:type="spellEnd"/>
            <w:r w:rsidRPr="00961268">
              <w:rPr>
                <w:rFonts w:eastAsiaTheme="minorHAnsi"/>
                <w:b/>
                <w:bCs/>
                <w:color w:val="auto"/>
                <w:lang w:eastAsia="zh-CN"/>
              </w:rPr>
              <w:t xml:space="preserve"> </w:t>
            </w:r>
            <w:proofErr w:type="spellStart"/>
            <w:r w:rsidRPr="00961268">
              <w:rPr>
                <w:rFonts w:eastAsiaTheme="minorHAnsi"/>
                <w:b/>
                <w:bCs/>
                <w:color w:val="auto"/>
                <w:lang w:eastAsia="zh-CN"/>
              </w:rPr>
              <w:t>Rooms</w:t>
            </w:r>
            <w:proofErr w:type="spellEnd"/>
            <w:r w:rsidRPr="00961268">
              <w:rPr>
                <w:rFonts w:eastAsiaTheme="minorHAnsi"/>
                <w:b/>
                <w:bCs/>
                <w:color w:val="auto"/>
                <w:lang w:eastAsia="zh-CN"/>
              </w:rPr>
              <w:t xml:space="preserve"> &amp; Lux </w:t>
            </w:r>
            <w:proofErr w:type="spellStart"/>
            <w:r w:rsidRPr="00961268">
              <w:rPr>
                <w:rFonts w:eastAsiaTheme="minorHAnsi"/>
                <w:b/>
                <w:bCs/>
                <w:color w:val="auto"/>
                <w:lang w:eastAsia="zh-CN"/>
              </w:rPr>
              <w:t>Apartments</w:t>
            </w:r>
            <w:proofErr w:type="spellEnd"/>
          </w:p>
        </w:tc>
      </w:tr>
      <w:tr w:rsidR="00961268" w:rsidRPr="005C0322" w14:paraId="1F4F6361" w14:textId="77777777" w:rsidTr="009D0465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894" w14:textId="1492793C" w:rsidR="00961268" w:rsidRDefault="00961268" w:rsidP="009D0465">
            <w:pPr>
              <w:pStyle w:val="Nincstrkz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Étterem neve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2D0E" w14:textId="03AF07F5" w:rsidR="00961268" w:rsidRPr="00961268" w:rsidRDefault="00961268" w:rsidP="009D0465">
            <w:pPr>
              <w:pStyle w:val="Nincstrkz"/>
              <w:rPr>
                <w:rFonts w:eastAsiaTheme="minorHAnsi"/>
                <w:b/>
                <w:bCs/>
                <w:color w:val="auto"/>
                <w:lang w:eastAsia="zh-CN"/>
              </w:rPr>
            </w:pPr>
            <w:r>
              <w:rPr>
                <w:rFonts w:eastAsiaTheme="minorHAnsi"/>
                <w:b/>
                <w:bCs/>
                <w:color w:val="auto"/>
                <w:lang w:eastAsia="zh-CN"/>
              </w:rPr>
              <w:t>Calypso Restaurant / Calypso étterem Siófok</w:t>
            </w:r>
          </w:p>
        </w:tc>
      </w:tr>
      <w:tr w:rsidR="00A46DA6" w:rsidRPr="005C0322" w14:paraId="23156B6B" w14:textId="77777777" w:rsidTr="009D0465"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B69" w14:textId="77777777" w:rsidR="00A46DA6" w:rsidRPr="005C0322" w:rsidRDefault="00A46DA6" w:rsidP="009D0465">
            <w:pPr>
              <w:pStyle w:val="Nincstrkz"/>
              <w:rPr>
                <w:color w:val="auto"/>
                <w:lang w:eastAsia="zh-CN"/>
              </w:rPr>
            </w:pPr>
            <w:r w:rsidRPr="005C0322">
              <w:rPr>
                <w:color w:val="auto"/>
                <w:lang w:eastAsia="zh-CN"/>
              </w:rPr>
              <w:t>Email címe: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B6A" w14:textId="0D60BAAB" w:rsidR="00A46DA6" w:rsidRPr="005C0322" w:rsidRDefault="00000000" w:rsidP="009D0465">
            <w:pPr>
              <w:pStyle w:val="Nincstrkz"/>
              <w:rPr>
                <w:color w:val="auto"/>
                <w:lang w:eastAsia="zh-CN"/>
              </w:rPr>
            </w:pPr>
            <w:hyperlink r:id="rId8" w:history="1">
              <w:r w:rsidR="00A46DA6" w:rsidRPr="005C0322">
                <w:rPr>
                  <w:rStyle w:val="Hiperhivatkozs"/>
                  <w:rFonts w:eastAsiaTheme="minorHAnsi"/>
                  <w:color w:val="auto"/>
                  <w:lang w:eastAsia="zh-CN"/>
                </w:rPr>
                <w:t>info@calypsocafe.hu</w:t>
              </w:r>
            </w:hyperlink>
            <w:r w:rsidR="00961268">
              <w:rPr>
                <w:rStyle w:val="Hiperhivatkozs"/>
                <w:rFonts w:eastAsiaTheme="minorHAnsi"/>
                <w:color w:val="auto"/>
                <w:lang w:eastAsia="zh-CN"/>
              </w:rPr>
              <w:t>,</w:t>
            </w:r>
            <w:r w:rsidR="00961268">
              <w:rPr>
                <w:rStyle w:val="Hiperhivatkozs"/>
                <w:lang w:eastAsia="zh-CN"/>
              </w:rPr>
              <w:t xml:space="preserve"> </w:t>
            </w:r>
            <w:hyperlink r:id="rId9" w:history="1">
              <w:r w:rsidR="00961268" w:rsidRPr="005B4BFE">
                <w:rPr>
                  <w:rStyle w:val="Hiperhivatkozs"/>
                  <w:lang w:eastAsia="zh-CN"/>
                </w:rPr>
                <w:t>siofokrooms@gmail.com</w:t>
              </w:r>
            </w:hyperlink>
          </w:p>
        </w:tc>
      </w:tr>
      <w:tr w:rsidR="00A46DA6" w:rsidRPr="005C0322" w14:paraId="23156B6E" w14:textId="77777777" w:rsidTr="009D0465"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B6C" w14:textId="77777777" w:rsidR="00A46DA6" w:rsidRPr="005C0322" w:rsidRDefault="00A46DA6" w:rsidP="009D0465">
            <w:pPr>
              <w:pStyle w:val="Nincstrkz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Cégjegyzék szám: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B6D" w14:textId="77777777" w:rsidR="00A46DA6" w:rsidRPr="00A46DA6" w:rsidRDefault="00A46DA6" w:rsidP="009D0465">
            <w:pPr>
              <w:pStyle w:val="Nincstrkz"/>
              <w:rPr>
                <w:rStyle w:val="Hiperhivatkozs"/>
                <w:rFonts w:eastAsiaTheme="minorHAnsi"/>
                <w:color w:val="auto"/>
                <w:u w:val="none"/>
                <w:lang w:eastAsia="zh-CN"/>
              </w:rPr>
            </w:pPr>
            <w:r w:rsidRPr="00A46DA6">
              <w:rPr>
                <w:rStyle w:val="Hiperhivatkozs"/>
                <w:rFonts w:eastAsiaTheme="minorHAnsi"/>
                <w:color w:val="auto"/>
                <w:u w:val="none"/>
                <w:lang w:eastAsia="zh-CN"/>
              </w:rPr>
              <w:t>14 09 313027</w:t>
            </w:r>
          </w:p>
        </w:tc>
      </w:tr>
      <w:tr w:rsidR="00A46DA6" w:rsidRPr="005C0322" w14:paraId="23156B71" w14:textId="77777777" w:rsidTr="009D0465"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B6F" w14:textId="77777777" w:rsidR="00A46DA6" w:rsidRPr="005C0322" w:rsidRDefault="00A46DA6" w:rsidP="009D0465">
            <w:pPr>
              <w:pStyle w:val="Nincstrkz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Adószám: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B70" w14:textId="77777777" w:rsidR="00A46DA6" w:rsidRPr="00A46DA6" w:rsidRDefault="00A46DA6" w:rsidP="009D0465">
            <w:pPr>
              <w:pStyle w:val="Nincstrkz"/>
              <w:rPr>
                <w:rStyle w:val="Hiperhivatkozs"/>
                <w:rFonts w:eastAsiaTheme="minorHAnsi"/>
                <w:color w:val="auto"/>
                <w:u w:val="none"/>
                <w:lang w:eastAsia="zh-CN"/>
              </w:rPr>
            </w:pPr>
            <w:r w:rsidRPr="00A46DA6">
              <w:rPr>
                <w:rStyle w:val="Hiperhivatkozs"/>
                <w:rFonts w:eastAsiaTheme="minorHAnsi"/>
                <w:color w:val="auto"/>
                <w:u w:val="none"/>
                <w:lang w:eastAsia="zh-CN"/>
              </w:rPr>
              <w:t>11684071-2-14</w:t>
            </w:r>
          </w:p>
        </w:tc>
      </w:tr>
      <w:tr w:rsidR="00A46DA6" w:rsidRPr="005C0322" w14:paraId="23156B74" w14:textId="77777777" w:rsidTr="009D0465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B72" w14:textId="77777777" w:rsidR="00A46DA6" w:rsidRPr="005C0322" w:rsidRDefault="00A46DA6" w:rsidP="009D0465">
            <w:pPr>
              <w:pStyle w:val="Nincstrkz"/>
              <w:rPr>
                <w:color w:val="auto"/>
                <w:lang w:eastAsia="zh-CN"/>
              </w:rPr>
            </w:pPr>
            <w:r w:rsidRPr="005C0322">
              <w:rPr>
                <w:color w:val="auto"/>
                <w:lang w:eastAsia="zh-CN"/>
              </w:rPr>
              <w:t>Telefonszáma: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B73" w14:textId="77777777" w:rsidR="00A46DA6" w:rsidRPr="005C0322" w:rsidRDefault="00A46DA6" w:rsidP="009D0465">
            <w:pPr>
              <w:pStyle w:val="Nincstrkz"/>
              <w:rPr>
                <w:color w:val="auto"/>
                <w:lang w:eastAsia="zh-CN"/>
              </w:rPr>
            </w:pPr>
            <w:r w:rsidRPr="005C0322">
              <w:rPr>
                <w:rFonts w:eastAsiaTheme="minorHAnsi"/>
                <w:color w:val="auto"/>
                <w:lang w:eastAsia="zh-CN"/>
              </w:rPr>
              <w:t>+36 (30) 685 9807</w:t>
            </w:r>
          </w:p>
        </w:tc>
      </w:tr>
      <w:tr w:rsidR="00A46DA6" w:rsidRPr="005C0322" w14:paraId="23156B77" w14:textId="77777777" w:rsidTr="009D0465"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B75" w14:textId="77777777" w:rsidR="00A46DA6" w:rsidRPr="005C0322" w:rsidRDefault="00A46DA6" w:rsidP="009D0465">
            <w:pPr>
              <w:pStyle w:val="Nincstrkz"/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Képviseli: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B76" w14:textId="77777777" w:rsidR="00A46DA6" w:rsidRPr="005C0322" w:rsidRDefault="00A46DA6" w:rsidP="009D0465">
            <w:pPr>
              <w:pStyle w:val="Nincstrkz"/>
              <w:rPr>
                <w:rFonts w:eastAsiaTheme="minorHAnsi"/>
                <w:color w:val="auto"/>
                <w:lang w:eastAsia="zh-CN"/>
              </w:rPr>
            </w:pPr>
            <w:r>
              <w:rPr>
                <w:rFonts w:eastAsiaTheme="minorHAnsi"/>
                <w:color w:val="auto"/>
                <w:lang w:eastAsia="zh-CN"/>
              </w:rPr>
              <w:t>Kenesei Lavínia</w:t>
            </w:r>
          </w:p>
        </w:tc>
      </w:tr>
    </w:tbl>
    <w:p w14:paraId="23156B78" w14:textId="77777777" w:rsidR="00A46DA6" w:rsidRPr="00A46DA6" w:rsidRDefault="00A46DA6" w:rsidP="00206DAB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32"/>
          <w:szCs w:val="32"/>
          <w:lang w:eastAsia="hu-HU"/>
        </w:rPr>
      </w:pPr>
    </w:p>
    <w:p w14:paraId="23156B79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A46DA6">
        <w:rPr>
          <w:rFonts w:eastAsia="Times New Roman"/>
          <w:lang w:eastAsia="hu-HU"/>
        </w:rPr>
        <w:t>Általános rendelkezések</w:t>
      </w:r>
    </w:p>
    <w:p w14:paraId="23156B7A" w14:textId="77777777" w:rsidR="005B3F00" w:rsidRPr="005B3F00" w:rsidRDefault="005B3F00" w:rsidP="005B3F00">
      <w:pPr>
        <w:rPr>
          <w:lang w:eastAsia="hu-HU"/>
        </w:rPr>
      </w:pPr>
    </w:p>
    <w:p w14:paraId="23156B7B" w14:textId="76EB18F2" w:rsidR="00206DAB" w:rsidRPr="00A46DA6" w:rsidRDefault="00206DAB" w:rsidP="00A46DA6">
      <w:p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Az Általános Szerződéses Feltételek (továbbiakban ÁSZF) azt a szerződéses tartalmat foglalják össze, melyek alapján a </w:t>
      </w:r>
      <w:r w:rsidR="00A46DA6" w:rsidRPr="00961268">
        <w:rPr>
          <w:rFonts w:ascii="Arial" w:eastAsia="Times New Roman" w:hAnsi="Arial" w:cs="Arial"/>
          <w:b/>
          <w:bCs/>
          <w:sz w:val="21"/>
          <w:szCs w:val="21"/>
          <w:lang w:eastAsia="hu-HU"/>
        </w:rPr>
        <w:t>Yolle-parking Kft</w:t>
      </w:r>
      <w:r w:rsidR="00A46DA6">
        <w:rPr>
          <w:rFonts w:ascii="Arial" w:eastAsia="Times New Roman" w:hAnsi="Arial" w:cs="Arial"/>
          <w:sz w:val="21"/>
          <w:szCs w:val="21"/>
          <w:lang w:eastAsia="hu-HU"/>
        </w:rPr>
        <w:t>. (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>a továbbiakban: Szolgáltató) elszállásolási szerződést köt Vendégeivel.</w:t>
      </w:r>
    </w:p>
    <w:p w14:paraId="23156B7C" w14:textId="77777777" w:rsidR="005B3F00" w:rsidRPr="00471AD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471AD6">
        <w:rPr>
          <w:rFonts w:ascii="Arial" w:eastAsia="Times New Roman" w:hAnsi="Arial" w:cs="Arial"/>
          <w:sz w:val="21"/>
          <w:szCs w:val="21"/>
          <w:lang w:eastAsia="hu-HU"/>
        </w:rPr>
        <w:t>Egyedi feltételek nem képezik részét a jelen ÁSZF-</w:t>
      </w:r>
      <w:proofErr w:type="spellStart"/>
      <w:r w:rsidRPr="00471AD6">
        <w:rPr>
          <w:rFonts w:ascii="Arial" w:eastAsia="Times New Roman" w:hAnsi="Arial" w:cs="Arial"/>
          <w:sz w:val="21"/>
          <w:szCs w:val="21"/>
          <w:lang w:eastAsia="hu-HU"/>
        </w:rPr>
        <w:t>nek</w:t>
      </w:r>
      <w:proofErr w:type="spellEnd"/>
      <w:r w:rsidRPr="00471AD6">
        <w:rPr>
          <w:rFonts w:ascii="Arial" w:eastAsia="Times New Roman" w:hAnsi="Arial" w:cs="Arial"/>
          <w:sz w:val="21"/>
          <w:szCs w:val="21"/>
          <w:lang w:eastAsia="hu-HU"/>
        </w:rPr>
        <w:t>, de nem zárják ki külön, speciális megállapodások megkötését utazásközvetítőkkel, szervezőkkel, esetenként más-más, az adott üzletnek megfelelő feltételekkel.</w:t>
      </w:r>
    </w:p>
    <w:p w14:paraId="23156B7D" w14:textId="77777777" w:rsidR="005B3F00" w:rsidRPr="00471AD6" w:rsidRDefault="00A46DA6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471AD6">
        <w:rPr>
          <w:rFonts w:ascii="Arial" w:eastAsia="Times New Roman" w:hAnsi="Arial" w:cs="Arial"/>
          <w:sz w:val="21"/>
          <w:szCs w:val="21"/>
          <w:lang w:eastAsia="hu-HU"/>
        </w:rPr>
        <w:t xml:space="preserve">Jelen Általános Szerződési Feltételek (a továbbiakban: ÁSZF) annak érdekében kerültek megalkotásra, hogy a </w:t>
      </w:r>
      <w:hyperlink r:id="rId10" w:history="1">
        <w:r w:rsidRPr="00471AD6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http://calypsocafe.hu/</w:t>
        </w:r>
      </w:hyperlink>
      <w:r w:rsidRPr="00471AD6">
        <w:rPr>
          <w:rFonts w:ascii="Arial" w:eastAsia="Times New Roman" w:hAnsi="Arial" w:cs="Arial"/>
          <w:sz w:val="21"/>
          <w:szCs w:val="21"/>
          <w:lang w:eastAsia="hu-HU"/>
        </w:rPr>
        <w:t xml:space="preserve"> honlap (a továbbiakban: Honlap) üzemeltetője által nyújtott szolgáltatások megfelelő módon keretbe foglalásra és </w:t>
      </w:r>
      <w:r w:rsidR="005B3F00" w:rsidRPr="00471AD6">
        <w:rPr>
          <w:rFonts w:ascii="Arial" w:eastAsia="Times New Roman" w:hAnsi="Arial" w:cs="Arial"/>
          <w:sz w:val="21"/>
          <w:szCs w:val="21"/>
          <w:lang w:eastAsia="hu-HU"/>
        </w:rPr>
        <w:t xml:space="preserve">szabályozásra kerüljenek. </w:t>
      </w:r>
    </w:p>
    <w:p w14:paraId="23156B7E" w14:textId="77777777" w:rsidR="005B3F00" w:rsidRPr="00471AD6" w:rsidRDefault="00A46DA6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471AD6">
        <w:rPr>
          <w:rFonts w:ascii="Arial" w:eastAsia="Times New Roman" w:hAnsi="Arial" w:cs="Arial"/>
          <w:sz w:val="21"/>
          <w:szCs w:val="21"/>
          <w:lang w:eastAsia="hu-HU"/>
        </w:rPr>
        <w:t xml:space="preserve">A honlapon történő adatkezelésről Üzemeltető külön adatkezelési tájékoztatót tesz elérhetővé a Honlapon az alábbi elérhetőségen: </w:t>
      </w:r>
      <w:hyperlink r:id="rId11" w:history="1">
        <w:r w:rsidR="00DB3C22" w:rsidRPr="004A67CF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http://calypsocafe.hu/adatkezelesi-tajekoztato/</w:t>
        </w:r>
      </w:hyperlink>
    </w:p>
    <w:p w14:paraId="23156B7F" w14:textId="77777777" w:rsidR="005B3F00" w:rsidRPr="00471AD6" w:rsidRDefault="00A46DA6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471AD6">
        <w:rPr>
          <w:rFonts w:ascii="Arial" w:eastAsia="Times New Roman" w:hAnsi="Arial" w:cs="Arial"/>
          <w:sz w:val="21"/>
          <w:szCs w:val="21"/>
          <w:lang w:eastAsia="hu-HU"/>
        </w:rPr>
        <w:t xml:space="preserve">Amennyiben Látogató vagy Felhasználó igénybe veszi a Honlap bármely szolgáltatását, akkor azzal elfogadja a jelen </w:t>
      </w:r>
      <w:r w:rsidR="005B3F00" w:rsidRPr="00471AD6">
        <w:rPr>
          <w:rFonts w:ascii="Arial" w:eastAsia="Times New Roman" w:hAnsi="Arial" w:cs="Arial"/>
          <w:sz w:val="21"/>
          <w:szCs w:val="21"/>
          <w:lang w:eastAsia="hu-HU"/>
        </w:rPr>
        <w:t>ÁSZF-ben foglalt feltételeket.</w:t>
      </w:r>
    </w:p>
    <w:p w14:paraId="23156B80" w14:textId="77777777" w:rsidR="005B3F00" w:rsidRDefault="00471AD6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A szerződé</w:t>
      </w:r>
      <w:r w:rsidR="005B3F00" w:rsidRPr="00471AD6">
        <w:rPr>
          <w:rFonts w:ascii="Arial" w:eastAsia="Times New Roman" w:hAnsi="Arial" w:cs="Arial"/>
          <w:sz w:val="21"/>
          <w:szCs w:val="21"/>
          <w:lang w:eastAsia="hu-HU"/>
        </w:rPr>
        <w:t>s nyelve: magyar.</w:t>
      </w:r>
    </w:p>
    <w:p w14:paraId="23156B81" w14:textId="77777777" w:rsidR="00EB354F" w:rsidRPr="00EB354F" w:rsidRDefault="00EB354F" w:rsidP="00EB354F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EB354F">
        <w:rPr>
          <w:rFonts w:eastAsia="Times New Roman"/>
          <w:lang w:eastAsia="hu-HU"/>
        </w:rPr>
        <w:t xml:space="preserve">Alkalmazandó jogszabályok </w:t>
      </w:r>
    </w:p>
    <w:p w14:paraId="23156B82" w14:textId="77777777" w:rsidR="00EB354F" w:rsidRDefault="00EB354F" w:rsidP="00EB354F">
      <w:pPr>
        <w:pStyle w:val="Cmsor1"/>
        <w:ind w:left="360"/>
        <w:rPr>
          <w:rFonts w:ascii="Arial" w:eastAsia="Times New Roman" w:hAnsi="Arial" w:cs="Arial"/>
          <w:color w:val="auto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color w:val="auto"/>
          <w:sz w:val="21"/>
          <w:szCs w:val="21"/>
          <w:lang w:eastAsia="hu-HU"/>
        </w:rPr>
        <w:t>Jelen ÁSZF esetében – különösen, de nem kizárólagosan – az alábbi jogszabályok az irányadók:</w:t>
      </w:r>
    </w:p>
    <w:p w14:paraId="23156B83" w14:textId="77777777" w:rsidR="00EB354F" w:rsidRP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2013. évi V. törvény a Polgári Törvénykönyvről (Ptk.)</w:t>
      </w:r>
    </w:p>
    <w:p w14:paraId="23156B84" w14:textId="77777777" w:rsidR="00EB354F" w:rsidRP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2012. évi C. törvény a Büntető Törvénykönyvről (Btk.);</w:t>
      </w:r>
    </w:p>
    <w:p w14:paraId="23156B85" w14:textId="77777777" w:rsidR="00EB354F" w:rsidRP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2012. évi II. törvény a szabálysértésekről, a szabálysértési eljárásról és a szabálysértési nyilvántartási rendszerről (</w:t>
      </w:r>
      <w:proofErr w:type="spellStart"/>
      <w:r w:rsidRPr="00EB354F">
        <w:rPr>
          <w:rFonts w:ascii="Arial" w:eastAsia="Times New Roman" w:hAnsi="Arial" w:cs="Arial"/>
          <w:sz w:val="21"/>
          <w:szCs w:val="21"/>
          <w:lang w:eastAsia="hu-HU"/>
        </w:rPr>
        <w:t>Szabstv</w:t>
      </w:r>
      <w:proofErr w:type="spellEnd"/>
      <w:r w:rsidRPr="00EB354F">
        <w:rPr>
          <w:rFonts w:ascii="Arial" w:eastAsia="Times New Roman" w:hAnsi="Arial" w:cs="Arial"/>
          <w:sz w:val="21"/>
          <w:szCs w:val="21"/>
          <w:lang w:eastAsia="hu-HU"/>
        </w:rPr>
        <w:t>.);</w:t>
      </w:r>
    </w:p>
    <w:p w14:paraId="23156B86" w14:textId="77777777" w:rsidR="00EB354F" w:rsidRP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2011. évi CXII. törvény az információs önrendelkezési jogról és az információszabadságról (</w:t>
      </w:r>
      <w:proofErr w:type="spellStart"/>
      <w:r w:rsidRPr="00EB354F">
        <w:rPr>
          <w:rFonts w:ascii="Arial" w:eastAsia="Times New Roman" w:hAnsi="Arial" w:cs="Arial"/>
          <w:sz w:val="21"/>
          <w:szCs w:val="21"/>
          <w:lang w:eastAsia="hu-HU"/>
        </w:rPr>
        <w:t>Infotv</w:t>
      </w:r>
      <w:proofErr w:type="spellEnd"/>
      <w:r w:rsidRPr="00EB354F">
        <w:rPr>
          <w:rFonts w:ascii="Arial" w:eastAsia="Times New Roman" w:hAnsi="Arial" w:cs="Arial"/>
          <w:sz w:val="21"/>
          <w:szCs w:val="21"/>
          <w:lang w:eastAsia="hu-HU"/>
        </w:rPr>
        <w:t>.)</w:t>
      </w:r>
    </w:p>
    <w:p w14:paraId="23156B87" w14:textId="77777777" w:rsidR="00EB354F" w:rsidRP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2008. évi XLVIII. törvény a gazdasági reklámtevékenység alapvető feltételeiről és egyes korlátairól (</w:t>
      </w:r>
      <w:proofErr w:type="spellStart"/>
      <w:r w:rsidRPr="00EB354F">
        <w:rPr>
          <w:rFonts w:ascii="Arial" w:eastAsia="Times New Roman" w:hAnsi="Arial" w:cs="Arial"/>
          <w:sz w:val="21"/>
          <w:szCs w:val="21"/>
          <w:lang w:eastAsia="hu-HU"/>
        </w:rPr>
        <w:t>Grtv</w:t>
      </w:r>
      <w:proofErr w:type="spellEnd"/>
      <w:r w:rsidRPr="00EB354F">
        <w:rPr>
          <w:rFonts w:ascii="Arial" w:eastAsia="Times New Roman" w:hAnsi="Arial" w:cs="Arial"/>
          <w:sz w:val="21"/>
          <w:szCs w:val="21"/>
          <w:lang w:eastAsia="hu-HU"/>
        </w:rPr>
        <w:t>.)</w:t>
      </w:r>
    </w:p>
    <w:p w14:paraId="23156B88" w14:textId="77777777" w:rsidR="00EB354F" w:rsidRP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2001. évi CVIII. törvény az elektronikus kereskedelmi szolgáltatások, valamint az információs társadalommal összefüggő szolgáltatások egyes kérdéseiről (</w:t>
      </w:r>
      <w:proofErr w:type="spellStart"/>
      <w:r w:rsidRPr="00EB354F">
        <w:rPr>
          <w:rFonts w:ascii="Arial" w:eastAsia="Times New Roman" w:hAnsi="Arial" w:cs="Arial"/>
          <w:sz w:val="21"/>
          <w:szCs w:val="21"/>
          <w:lang w:eastAsia="hu-HU"/>
        </w:rPr>
        <w:t>Ekertv</w:t>
      </w:r>
      <w:proofErr w:type="spellEnd"/>
      <w:r w:rsidRPr="00EB354F">
        <w:rPr>
          <w:rFonts w:ascii="Arial" w:eastAsia="Times New Roman" w:hAnsi="Arial" w:cs="Arial"/>
          <w:sz w:val="21"/>
          <w:szCs w:val="21"/>
          <w:lang w:eastAsia="hu-HU"/>
        </w:rPr>
        <w:t>.)</w:t>
      </w:r>
    </w:p>
    <w:p w14:paraId="23156B89" w14:textId="77777777" w:rsidR="00EB354F" w:rsidRP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lastRenderedPageBreak/>
        <w:t>1999. évi LXXV. törvény a szervezett bűnözés, valamint az azzal összefüggő egyes jelenségek elleni fellépés szabályairól és az ehhez kapcsolódó törvénymódosításokról (</w:t>
      </w:r>
      <w:proofErr w:type="spellStart"/>
      <w:r w:rsidRPr="00EB354F">
        <w:rPr>
          <w:rFonts w:ascii="Arial" w:eastAsia="Times New Roman" w:hAnsi="Arial" w:cs="Arial"/>
          <w:sz w:val="21"/>
          <w:szCs w:val="21"/>
          <w:lang w:eastAsia="hu-HU"/>
        </w:rPr>
        <w:t>Szbtv</w:t>
      </w:r>
      <w:proofErr w:type="spellEnd"/>
      <w:r w:rsidRPr="00EB354F">
        <w:rPr>
          <w:rFonts w:ascii="Arial" w:eastAsia="Times New Roman" w:hAnsi="Arial" w:cs="Arial"/>
          <w:sz w:val="21"/>
          <w:szCs w:val="21"/>
          <w:lang w:eastAsia="hu-HU"/>
        </w:rPr>
        <w:t>.)</w:t>
      </w:r>
    </w:p>
    <w:p w14:paraId="23156B8A" w14:textId="77777777" w:rsidR="00EB354F" w:rsidRP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1999. évi LXXVI. törvény a szerzői jogról (Szjt.)</w:t>
      </w:r>
    </w:p>
    <w:p w14:paraId="23156B8B" w14:textId="77777777" w:rsidR="00EB354F" w:rsidRP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1997. évi CLV. törvény a fogyasztóvédelemről (</w:t>
      </w:r>
      <w:proofErr w:type="spellStart"/>
      <w:r w:rsidRPr="00EB354F">
        <w:rPr>
          <w:rFonts w:ascii="Arial" w:eastAsia="Times New Roman" w:hAnsi="Arial" w:cs="Arial"/>
          <w:sz w:val="21"/>
          <w:szCs w:val="21"/>
          <w:lang w:eastAsia="hu-HU"/>
        </w:rPr>
        <w:t>Fgytv</w:t>
      </w:r>
      <w:proofErr w:type="spellEnd"/>
      <w:r w:rsidRPr="00EB354F">
        <w:rPr>
          <w:rFonts w:ascii="Arial" w:eastAsia="Times New Roman" w:hAnsi="Arial" w:cs="Arial"/>
          <w:sz w:val="21"/>
          <w:szCs w:val="21"/>
          <w:lang w:eastAsia="hu-HU"/>
        </w:rPr>
        <w:t>.)</w:t>
      </w:r>
    </w:p>
    <w:p w14:paraId="23156B8C" w14:textId="77777777" w:rsidR="00EB354F" w:rsidRP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45/2014. (II. 26.) Korm. rendelet a fogyasztó és a vállalkozás közötti szerződések részletes szabályairól (</w:t>
      </w:r>
      <w:proofErr w:type="spellStart"/>
      <w:r w:rsidRPr="00EB354F">
        <w:rPr>
          <w:rFonts w:ascii="Arial" w:eastAsia="Times New Roman" w:hAnsi="Arial" w:cs="Arial"/>
          <w:sz w:val="21"/>
          <w:szCs w:val="21"/>
          <w:lang w:eastAsia="hu-HU"/>
        </w:rPr>
        <w:t>Fgykr</w:t>
      </w:r>
      <w:proofErr w:type="spellEnd"/>
      <w:r w:rsidRPr="00EB354F">
        <w:rPr>
          <w:rFonts w:ascii="Arial" w:eastAsia="Times New Roman" w:hAnsi="Arial" w:cs="Arial"/>
          <w:sz w:val="21"/>
          <w:szCs w:val="21"/>
          <w:lang w:eastAsia="hu-HU"/>
        </w:rPr>
        <w:t>.)</w:t>
      </w:r>
    </w:p>
    <w:p w14:paraId="23156B8D" w14:textId="77777777" w:rsidR="00EB354F" w:rsidRDefault="00EB354F" w:rsidP="00EB354F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Az Európai Parlament és a Tanács 2016/679 rendelete a természetes személyeknek a személyes adatok kezelése tekintetében történő védelméről és az ilyen adatok szabad áramlásáról, valamint a 95/46/EK rendelet hatályon kívül helyezéséről (GDPR)</w:t>
      </w:r>
    </w:p>
    <w:p w14:paraId="100BE413" w14:textId="77777777" w:rsidR="003E2747" w:rsidRPr="003E2747" w:rsidRDefault="003E2747" w:rsidP="003E2747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3E2747">
        <w:rPr>
          <w:rFonts w:ascii="Arial" w:eastAsia="Times New Roman" w:hAnsi="Arial" w:cs="Arial"/>
          <w:sz w:val="21"/>
          <w:szCs w:val="21"/>
          <w:lang w:eastAsia="hu-HU"/>
        </w:rPr>
        <w:t>a turisztikai térségek fejlesztésének állami feladatairól szól 2016. évi CLVI. törvény,</w:t>
      </w:r>
    </w:p>
    <w:p w14:paraId="369161E6" w14:textId="33395FC8" w:rsidR="003E2747" w:rsidRPr="00EB354F" w:rsidRDefault="003E2747" w:rsidP="003E2747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3E2747">
        <w:rPr>
          <w:rFonts w:ascii="Arial" w:eastAsia="Times New Roman" w:hAnsi="Arial" w:cs="Arial"/>
          <w:sz w:val="21"/>
          <w:szCs w:val="21"/>
          <w:lang w:eastAsia="hu-HU"/>
        </w:rPr>
        <w:t>a turisztikai térségek fejlesztésének állami feladatairól szóló törvény végrehajtásáról szóló 235/2019. (X. 15.) Korm. rendelet</w:t>
      </w:r>
    </w:p>
    <w:p w14:paraId="23156B8E" w14:textId="77777777" w:rsidR="005B3F00" w:rsidRPr="005B3F00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Szerződő felek</w:t>
      </w:r>
    </w:p>
    <w:p w14:paraId="23156B8F" w14:textId="77777777" w:rsidR="005B3F00" w:rsidRDefault="005B3F00" w:rsidP="005B3F00">
      <w:p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14:paraId="23156B90" w14:textId="77777777" w:rsidR="00471AD6" w:rsidRPr="00471AD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471AD6">
        <w:rPr>
          <w:rFonts w:ascii="Arial" w:eastAsia="Times New Roman" w:hAnsi="Arial" w:cs="Arial"/>
          <w:sz w:val="21"/>
          <w:szCs w:val="21"/>
          <w:lang w:eastAsia="hu-HU"/>
        </w:rPr>
        <w:t xml:space="preserve">A Szolgáltató által nyújtott szolgáltatásokat a Vendég veszi igénybe. </w:t>
      </w:r>
    </w:p>
    <w:p w14:paraId="23156B91" w14:textId="77777777" w:rsidR="00471AD6" w:rsidRPr="00471AD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471AD6">
        <w:rPr>
          <w:rFonts w:ascii="Arial" w:eastAsia="Times New Roman" w:hAnsi="Arial" w:cs="Arial"/>
          <w:sz w:val="21"/>
          <w:szCs w:val="21"/>
          <w:lang w:eastAsia="hu-HU"/>
        </w:rPr>
        <w:t>Amennyiben a szolgáltatásokra vonatkozó megrendelést a Vendég közvetlenül a Szolgáltatónak adja le, úgy a Vendég lesz a Szerződő fél. A Szolgáltató és a Vendég együttesen, amennyiben a feltételek teljesülnek, szerződéses felekké válnak (továbbiakban: Felek).</w:t>
      </w:r>
    </w:p>
    <w:p w14:paraId="23156B92" w14:textId="77777777" w:rsidR="00206DAB" w:rsidRPr="005B3F00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5B3F00">
        <w:rPr>
          <w:rFonts w:ascii="Arial" w:eastAsia="Times New Roman" w:hAnsi="Arial" w:cs="Arial"/>
          <w:sz w:val="21"/>
          <w:szCs w:val="21"/>
          <w:lang w:eastAsia="hu-HU"/>
        </w:rPr>
        <w:t>Amennyiben a szolgáltatásokra vonatkozó megrendelést a Vendég megbízásából egy harmadik személy (továbbiakban Közvetítő) adja le a Szolgáltatónak, az együttműködés feltételeit a Szolgáltató és a Közvetítő közötti megállapodás szabályozza. Ebben az esetben a Szolgáltató nem köteles vizsgálni, hogy a harmadik személy jogszerűen képviseli-e a Vendéget.</w:t>
      </w:r>
    </w:p>
    <w:p w14:paraId="23156B93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 szolgáltatás igénybevételének módja és feltételei</w:t>
      </w:r>
    </w:p>
    <w:p w14:paraId="23156B94" w14:textId="77777777" w:rsidR="005B3F00" w:rsidRPr="005B3F00" w:rsidRDefault="005B3F00" w:rsidP="005B3F00">
      <w:pPr>
        <w:rPr>
          <w:lang w:eastAsia="hu-HU"/>
        </w:rPr>
      </w:pPr>
    </w:p>
    <w:p w14:paraId="23156B95" w14:textId="0AF2BB97" w:rsidR="00206DAB" w:rsidRPr="0096126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61268">
        <w:rPr>
          <w:rFonts w:ascii="Arial" w:eastAsia="Times New Roman" w:hAnsi="Arial" w:cs="Arial"/>
          <w:sz w:val="21"/>
          <w:szCs w:val="21"/>
          <w:lang w:eastAsia="hu-HU"/>
        </w:rPr>
        <w:t>A Vendég szóbeli vagy írásbeli ajánlatkérésére a Szolgáltató minden esetben írásbeli ajánlatot küld, mely megvalósulhat internetes szállásközvetítői oldalakon (pl. booking.com stb.), vagy ún. Kuponos oldalakon keresztül feltüntetett hirdetés útján. Amennyiben az ajánlat elküldésétől számí</w:t>
      </w:r>
      <w:r w:rsidR="00C931BA" w:rsidRPr="00961268">
        <w:rPr>
          <w:rFonts w:ascii="Arial" w:eastAsia="Times New Roman" w:hAnsi="Arial" w:cs="Arial"/>
          <w:sz w:val="21"/>
          <w:szCs w:val="21"/>
          <w:lang w:eastAsia="hu-HU"/>
        </w:rPr>
        <w:t>tott 24</w:t>
      </w:r>
      <w:r w:rsidRPr="00961268">
        <w:rPr>
          <w:rFonts w:ascii="Arial" w:eastAsia="Times New Roman" w:hAnsi="Arial" w:cs="Arial"/>
          <w:sz w:val="21"/>
          <w:szCs w:val="21"/>
          <w:lang w:eastAsia="hu-HU"/>
        </w:rPr>
        <w:t xml:space="preserve"> órán belül, vagy az ajánlat internetes hirdetés útján történő internetes elérés ideje alatt nem érkezik konkrét megrendelés, úgy a Szolgáltató ajánlati kötöttsége megszűnik.</w:t>
      </w:r>
    </w:p>
    <w:p w14:paraId="23156B96" w14:textId="0915CB9B" w:rsidR="00206DAB" w:rsidRPr="00A46DA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A Szerződés kizárólag a Vendég írásban leadott foglalásának a Szolgáltató általi írásban megküldött visszaigazolásával jön létre, illetve internetes hirdetés keretében történő foglalás esetén a bekért </w:t>
      </w:r>
      <w:r w:rsidR="00961268">
        <w:rPr>
          <w:rFonts w:ascii="Arial" w:eastAsia="Times New Roman" w:hAnsi="Arial" w:cs="Arial"/>
          <w:sz w:val="21"/>
          <w:szCs w:val="21"/>
          <w:lang w:eastAsia="hu-HU"/>
        </w:rPr>
        <w:t xml:space="preserve">foglalási garanciaként szolgáló bankkártya adatok megadásával vagy 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előleg megfizetésével, illetve a szálláshely elfoglalása során aláírásra került </w:t>
      </w:r>
      <w:r w:rsidR="00961268">
        <w:rPr>
          <w:rFonts w:ascii="Arial" w:eastAsia="Times New Roman" w:hAnsi="Arial" w:cs="Arial"/>
          <w:sz w:val="21"/>
          <w:szCs w:val="21"/>
          <w:lang w:eastAsia="hu-HU"/>
        </w:rPr>
        <w:t>„bejelentő lap” aláírásával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>, írásban megkötött Szerződésnek minősül.</w:t>
      </w:r>
    </w:p>
    <w:p w14:paraId="23156B97" w14:textId="77777777" w:rsidR="00206DAB" w:rsidRPr="00A46DA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Szóban leadott foglalás, megállapodás, módosítás, vagy annak a Szolgáltató általi szóbeli visszaigazolása nem minősül szerződésnek.</w:t>
      </w:r>
    </w:p>
    <w:p w14:paraId="23156B98" w14:textId="77777777" w:rsidR="00206DAB" w:rsidRPr="00A46DA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szállás-szolgáltatás igénybevételéről szóló Szerződés meghatározott időtartamra szól.</w:t>
      </w:r>
    </w:p>
    <w:p w14:paraId="23156B99" w14:textId="77777777" w:rsidR="00206DAB" w:rsidRPr="00A46DA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Ha a Vendég a meghatározott időtartam lejárta előtt véglegesen elhagyja az apartmant, a Szolgáltató jogosult a Szerződésben kikötött szolgáltatás teljes ellenértékére. A lejárati idő előtt megüresedett apartmant a Szolgáltató jogosult újra értékesíteni.</w:t>
      </w:r>
    </w:p>
    <w:p w14:paraId="23156B9A" w14:textId="0A69AA68" w:rsidR="00206DAB" w:rsidRPr="00A46DA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szállás-szolgáltatás igénybevételének Vendég által kezdeményezett meghosszabbításához a Szolgáltató előzetes</w:t>
      </w:r>
      <w:r w:rsidR="00961268">
        <w:rPr>
          <w:rFonts w:ascii="Arial" w:eastAsia="Times New Roman" w:hAnsi="Arial" w:cs="Arial"/>
          <w:sz w:val="21"/>
          <w:szCs w:val="21"/>
          <w:lang w:eastAsia="hu-HU"/>
        </w:rPr>
        <w:t>, írásbeli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 hozzájárulása szükséges. Ebben az esetben a Szolgáltató kikötheti a már teljesített szolgáltatás díjának megtérítését, illetve a hosszabbítás tekintetében megvalósuló szolgáltatás értékét egyedi módon, akár az eredeti szerződésben meghatározott egységáraktól eltérő árszínvonalon kikötheti.</w:t>
      </w:r>
    </w:p>
    <w:p w14:paraId="23156B9B" w14:textId="5DDE8C30" w:rsidR="00206DAB" w:rsidRPr="00A46DA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A szállás-szolgáltatás igénybevételének feltétele, hogy a Vendégek személyazonosságukat (név, születési név, anyja neve, születési hely és idő, személyi 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lastRenderedPageBreak/>
        <w:t>igazolvány szám, lakcím) a törvényes előírásoknak megfelelően, az apartman</w:t>
      </w:r>
      <w:r w:rsidR="00961268">
        <w:rPr>
          <w:rFonts w:ascii="Arial" w:eastAsia="Times New Roman" w:hAnsi="Arial" w:cs="Arial"/>
          <w:sz w:val="21"/>
          <w:szCs w:val="21"/>
          <w:lang w:eastAsia="hu-HU"/>
        </w:rPr>
        <w:t>/ szoba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 elfoglalása előtt </w:t>
      </w:r>
      <w:r w:rsidR="00961268">
        <w:rPr>
          <w:rFonts w:ascii="Arial" w:eastAsia="Times New Roman" w:hAnsi="Arial" w:cs="Arial"/>
          <w:sz w:val="21"/>
          <w:szCs w:val="21"/>
          <w:lang w:eastAsia="hu-HU"/>
        </w:rPr>
        <w:t xml:space="preserve">igazolványuk bemutatásával 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>igazolják. Az apartmanban bejelentés nélkül senki sem lakhat.</w:t>
      </w:r>
      <w:r w:rsidR="0008672C">
        <w:rPr>
          <w:rFonts w:ascii="Arial" w:eastAsia="Times New Roman" w:hAnsi="Arial" w:cs="Arial"/>
          <w:sz w:val="21"/>
          <w:szCs w:val="21"/>
          <w:lang w:eastAsia="hu-HU"/>
        </w:rPr>
        <w:t xml:space="preserve"> Az adatkezelés a Szolgáltató számára kötelezően előírt törvényi kötelezettség teljesítéshez szükséges.</w:t>
      </w:r>
    </w:p>
    <w:p w14:paraId="23156B9C" w14:textId="77777777" w:rsidR="00206DAB" w:rsidRPr="00A46DA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Szerződés módosításához és/vagy kiegészítéséhez a Felek által aláírt írásbeli megállapodás szükséges.</w:t>
      </w:r>
    </w:p>
    <w:p w14:paraId="23156B9D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Az elszállásolás kezdete és vége (</w:t>
      </w:r>
      <w:proofErr w:type="spellStart"/>
      <w:r w:rsidRPr="005B3F00">
        <w:rPr>
          <w:rFonts w:eastAsia="Times New Roman"/>
          <w:lang w:eastAsia="hu-HU"/>
        </w:rPr>
        <w:t>check</w:t>
      </w:r>
      <w:proofErr w:type="spellEnd"/>
      <w:r w:rsidRPr="005B3F00">
        <w:rPr>
          <w:rFonts w:eastAsia="Times New Roman"/>
          <w:lang w:eastAsia="hu-HU"/>
        </w:rPr>
        <w:t xml:space="preserve">-in és </w:t>
      </w:r>
      <w:proofErr w:type="spellStart"/>
      <w:r w:rsidRPr="005B3F00">
        <w:rPr>
          <w:rFonts w:eastAsia="Times New Roman"/>
          <w:lang w:eastAsia="hu-HU"/>
        </w:rPr>
        <w:t>check</w:t>
      </w:r>
      <w:proofErr w:type="spellEnd"/>
      <w:r w:rsidRPr="005B3F00">
        <w:rPr>
          <w:rFonts w:eastAsia="Times New Roman"/>
          <w:lang w:eastAsia="hu-HU"/>
        </w:rPr>
        <w:t>-out)</w:t>
      </w:r>
    </w:p>
    <w:p w14:paraId="23156B9E" w14:textId="77777777" w:rsidR="00471AD6" w:rsidRPr="00471AD6" w:rsidRDefault="00471AD6" w:rsidP="00471AD6">
      <w:pPr>
        <w:rPr>
          <w:lang w:eastAsia="hu-HU"/>
        </w:rPr>
      </w:pPr>
    </w:p>
    <w:p w14:paraId="23156B9F" w14:textId="7D9F4542" w:rsidR="00206DAB" w:rsidRPr="0096126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61268">
        <w:rPr>
          <w:rFonts w:ascii="Arial" w:eastAsia="Times New Roman" w:hAnsi="Arial" w:cs="Arial"/>
          <w:sz w:val="21"/>
          <w:szCs w:val="21"/>
          <w:lang w:eastAsia="hu-HU"/>
        </w:rPr>
        <w:t xml:space="preserve">A Vendégnek joga van az apartmant a megállapodás szerinti nap </w:t>
      </w:r>
      <w:r w:rsidR="00C931BA" w:rsidRPr="00961268">
        <w:rPr>
          <w:rFonts w:ascii="Arial" w:eastAsia="Times New Roman" w:hAnsi="Arial" w:cs="Arial"/>
          <w:sz w:val="21"/>
          <w:szCs w:val="21"/>
          <w:lang w:eastAsia="hu-HU"/>
        </w:rPr>
        <w:t>16</w:t>
      </w:r>
      <w:r w:rsidRPr="00961268">
        <w:rPr>
          <w:rFonts w:ascii="Arial" w:eastAsia="Times New Roman" w:hAnsi="Arial" w:cs="Arial"/>
          <w:sz w:val="21"/>
          <w:szCs w:val="21"/>
          <w:lang w:eastAsia="hu-HU"/>
        </w:rPr>
        <w:t>:00 órától elfoglalni.</w:t>
      </w:r>
    </w:p>
    <w:p w14:paraId="23156BA0" w14:textId="0B12E0C0" w:rsidR="00206DAB" w:rsidRPr="0096126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61268">
        <w:rPr>
          <w:rFonts w:ascii="Arial" w:eastAsia="Times New Roman" w:hAnsi="Arial" w:cs="Arial"/>
          <w:sz w:val="21"/>
          <w:szCs w:val="21"/>
          <w:lang w:eastAsia="hu-HU"/>
        </w:rPr>
        <w:t xml:space="preserve">A Szolgáltatónak abban az esetben, ha a Vendég nem jelenik meg a megállapodás szerinti nap </w:t>
      </w:r>
      <w:r w:rsidR="00C931BA" w:rsidRPr="00961268">
        <w:rPr>
          <w:rFonts w:ascii="Arial" w:eastAsia="Times New Roman" w:hAnsi="Arial" w:cs="Arial"/>
          <w:sz w:val="21"/>
          <w:szCs w:val="21"/>
          <w:lang w:eastAsia="hu-HU"/>
        </w:rPr>
        <w:t>20</w:t>
      </w:r>
      <w:r w:rsidRPr="00961268">
        <w:rPr>
          <w:rFonts w:ascii="Arial" w:eastAsia="Times New Roman" w:hAnsi="Arial" w:cs="Arial"/>
          <w:sz w:val="21"/>
          <w:szCs w:val="21"/>
          <w:lang w:eastAsia="hu-HU"/>
        </w:rPr>
        <w:t>:00 óráig, joga van arra, hogy visszalépjen a szerződéstől kivéve, ha későbbi érkezési időpont került kikötésre.</w:t>
      </w:r>
    </w:p>
    <w:p w14:paraId="23156BA1" w14:textId="385C1CD3" w:rsidR="00206DAB" w:rsidRPr="0096126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61268">
        <w:rPr>
          <w:rFonts w:ascii="Arial" w:eastAsia="Times New Roman" w:hAnsi="Arial" w:cs="Arial"/>
          <w:sz w:val="21"/>
          <w:szCs w:val="21"/>
          <w:lang w:eastAsia="hu-HU"/>
        </w:rPr>
        <w:t xml:space="preserve">Amennyiben a Vendég előleget fizetett, az apartman legkésőbb a következő nap </w:t>
      </w:r>
      <w:r w:rsidR="00C931BA" w:rsidRPr="00961268">
        <w:rPr>
          <w:rFonts w:ascii="Arial" w:eastAsia="Times New Roman" w:hAnsi="Arial" w:cs="Arial"/>
          <w:sz w:val="21"/>
          <w:szCs w:val="21"/>
          <w:lang w:eastAsia="hu-HU"/>
        </w:rPr>
        <w:t>11</w:t>
      </w:r>
      <w:r w:rsidRPr="00961268">
        <w:rPr>
          <w:rFonts w:ascii="Arial" w:eastAsia="Times New Roman" w:hAnsi="Arial" w:cs="Arial"/>
          <w:sz w:val="21"/>
          <w:szCs w:val="21"/>
          <w:lang w:eastAsia="hu-HU"/>
        </w:rPr>
        <w:t>:00 óráig lefoglalva marad.</w:t>
      </w:r>
    </w:p>
    <w:p w14:paraId="23156BA2" w14:textId="1C3B923B" w:rsidR="00206DAB" w:rsidRPr="0096126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61268">
        <w:rPr>
          <w:rFonts w:ascii="Arial" w:eastAsia="Times New Roman" w:hAnsi="Arial" w:cs="Arial"/>
          <w:sz w:val="21"/>
          <w:szCs w:val="21"/>
          <w:lang w:eastAsia="hu-HU"/>
        </w:rPr>
        <w:t xml:space="preserve">A Vendégnek az apartmant az elutazási nap </w:t>
      </w:r>
      <w:r w:rsidR="00C931BA" w:rsidRPr="00961268">
        <w:rPr>
          <w:rFonts w:ascii="Arial" w:eastAsia="Times New Roman" w:hAnsi="Arial" w:cs="Arial"/>
          <w:sz w:val="21"/>
          <w:szCs w:val="21"/>
          <w:lang w:eastAsia="hu-HU"/>
        </w:rPr>
        <w:t>11</w:t>
      </w:r>
      <w:r w:rsidRPr="00961268">
        <w:rPr>
          <w:rFonts w:ascii="Arial" w:eastAsia="Times New Roman" w:hAnsi="Arial" w:cs="Arial"/>
          <w:sz w:val="21"/>
          <w:szCs w:val="21"/>
          <w:lang w:eastAsia="hu-HU"/>
        </w:rPr>
        <w:t>:00 óráig kell elhagynia.</w:t>
      </w:r>
    </w:p>
    <w:p w14:paraId="23156BA3" w14:textId="77777777" w:rsidR="00206DAB" w:rsidRPr="0096126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61268">
        <w:rPr>
          <w:rFonts w:ascii="Arial" w:eastAsia="Times New Roman" w:hAnsi="Arial" w:cs="Arial"/>
          <w:sz w:val="21"/>
          <w:szCs w:val="21"/>
          <w:lang w:eastAsia="hu-HU"/>
        </w:rPr>
        <w:t>A Szolgáltató foglaltságának függvényében, térítés ellenében biztosítja a korai érkezés, illetve a késői elutazás lehetőségét. Amennyiben ezen szolgáltatást a Vendég igénybe kívánja venni, azt legkorábban az érkezést megelőző napon jeleznie kell a Szolgáltató felé.</w:t>
      </w:r>
    </w:p>
    <w:p w14:paraId="23156BA4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Az elszállásolás meghosszabbítása</w:t>
      </w:r>
    </w:p>
    <w:p w14:paraId="23156BA5" w14:textId="77777777" w:rsidR="00471AD6" w:rsidRPr="00471AD6" w:rsidRDefault="00471AD6" w:rsidP="00471AD6">
      <w:pPr>
        <w:rPr>
          <w:lang w:eastAsia="hu-HU"/>
        </w:rPr>
      </w:pPr>
    </w:p>
    <w:p w14:paraId="23156BA6" w14:textId="77777777" w:rsidR="00206DAB" w:rsidRPr="0096126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61268">
        <w:rPr>
          <w:rFonts w:ascii="Arial" w:eastAsia="Times New Roman" w:hAnsi="Arial" w:cs="Arial"/>
          <w:sz w:val="21"/>
          <w:szCs w:val="21"/>
          <w:lang w:eastAsia="hu-HU"/>
        </w:rPr>
        <w:t>A tartózkodás Vendég általi meghosszabbításához a Szolgáltató előzetes hozzájárulása szükséges.</w:t>
      </w:r>
    </w:p>
    <w:p w14:paraId="23156BA7" w14:textId="0005977E" w:rsidR="00206DAB" w:rsidRPr="0096126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961268">
        <w:rPr>
          <w:rFonts w:ascii="Arial" w:eastAsia="Times New Roman" w:hAnsi="Arial" w:cs="Arial"/>
          <w:sz w:val="21"/>
          <w:szCs w:val="21"/>
          <w:lang w:eastAsia="hu-HU"/>
        </w:rPr>
        <w:t>Amennyiben a Vendég az apartmant</w:t>
      </w:r>
      <w:r w:rsidR="00961268">
        <w:rPr>
          <w:rFonts w:ascii="Arial" w:eastAsia="Times New Roman" w:hAnsi="Arial" w:cs="Arial"/>
          <w:sz w:val="21"/>
          <w:szCs w:val="21"/>
          <w:lang w:eastAsia="hu-HU"/>
        </w:rPr>
        <w:t>/szobát</w:t>
      </w:r>
      <w:r w:rsidRPr="00961268">
        <w:rPr>
          <w:rFonts w:ascii="Arial" w:eastAsia="Times New Roman" w:hAnsi="Arial" w:cs="Arial"/>
          <w:sz w:val="21"/>
          <w:szCs w:val="21"/>
          <w:lang w:eastAsia="hu-HU"/>
        </w:rPr>
        <w:t xml:space="preserve"> a bejelentkezéskor a távozá</w:t>
      </w:r>
      <w:r w:rsidR="00471AD6" w:rsidRPr="00961268">
        <w:rPr>
          <w:rFonts w:ascii="Arial" w:eastAsia="Times New Roman" w:hAnsi="Arial" w:cs="Arial"/>
          <w:sz w:val="21"/>
          <w:szCs w:val="21"/>
          <w:lang w:eastAsia="hu-HU"/>
        </w:rPr>
        <w:t>s napjaként feltüntetett napon 1</w:t>
      </w:r>
      <w:r w:rsidR="00C931BA" w:rsidRPr="00961268">
        <w:rPr>
          <w:rFonts w:ascii="Arial" w:eastAsia="Times New Roman" w:hAnsi="Arial" w:cs="Arial"/>
          <w:sz w:val="21"/>
          <w:szCs w:val="21"/>
          <w:lang w:eastAsia="hu-HU"/>
        </w:rPr>
        <w:t>1</w:t>
      </w:r>
      <w:r w:rsidRPr="00961268">
        <w:rPr>
          <w:rFonts w:ascii="Arial" w:eastAsia="Times New Roman" w:hAnsi="Arial" w:cs="Arial"/>
          <w:sz w:val="21"/>
          <w:szCs w:val="21"/>
          <w:lang w:eastAsia="hu-HU"/>
        </w:rPr>
        <w:t>:00 óráig nem üríti ki és a tartózkodás meghosszabbításához a Szolgáltató előzetesen nem járult hozzá, úgy a Szolgáltató jogosult az apartman</w:t>
      </w:r>
      <w:r w:rsidR="00961268">
        <w:rPr>
          <w:rFonts w:ascii="Arial" w:eastAsia="Times New Roman" w:hAnsi="Arial" w:cs="Arial"/>
          <w:sz w:val="21"/>
          <w:szCs w:val="21"/>
          <w:lang w:eastAsia="hu-HU"/>
        </w:rPr>
        <w:t>/ szoba</w:t>
      </w:r>
      <w:r w:rsidRPr="00961268">
        <w:rPr>
          <w:rFonts w:ascii="Arial" w:eastAsia="Times New Roman" w:hAnsi="Arial" w:cs="Arial"/>
          <w:sz w:val="21"/>
          <w:szCs w:val="21"/>
          <w:lang w:eastAsia="hu-HU"/>
        </w:rPr>
        <w:t xml:space="preserve"> éjszakánként megállapított árának kétszeres összegét egy további napra is kiszámlázni és ezzel egyidejűleg a Szolgáltató szolgáltatási kötelezettsége is megszűnik, azaz a Vendég az apartmant jogcím nélkül használja. Jogcím nélküli használat időtartamára a Vendég a napi apartman-ár kétszeres összegét köteles naponta megfizetni a Szolgáltató felé, illetve köteles azon károk megtérítésére is, melyek amiatt keletkeztek, hogy a jogcím nélküli használat időtartama alatt más Vendégek nem tudják az apartmant</w:t>
      </w:r>
      <w:r w:rsidR="00961268">
        <w:rPr>
          <w:rFonts w:ascii="Arial" w:eastAsia="Times New Roman" w:hAnsi="Arial" w:cs="Arial"/>
          <w:sz w:val="21"/>
          <w:szCs w:val="21"/>
          <w:lang w:eastAsia="hu-HU"/>
        </w:rPr>
        <w:t>/szobát</w:t>
      </w:r>
      <w:r w:rsidRPr="00961268">
        <w:rPr>
          <w:rFonts w:ascii="Arial" w:eastAsia="Times New Roman" w:hAnsi="Arial" w:cs="Arial"/>
          <w:sz w:val="21"/>
          <w:szCs w:val="21"/>
          <w:lang w:eastAsia="hu-HU"/>
        </w:rPr>
        <w:t xml:space="preserve"> igénybe venni.</w:t>
      </w:r>
    </w:p>
    <w:p w14:paraId="23156BA8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Árak</w:t>
      </w:r>
    </w:p>
    <w:p w14:paraId="23156BA9" w14:textId="77777777" w:rsidR="00471AD6" w:rsidRPr="00471AD6" w:rsidRDefault="00471AD6" w:rsidP="00471AD6">
      <w:pPr>
        <w:rPr>
          <w:lang w:eastAsia="hu-HU"/>
        </w:rPr>
      </w:pPr>
    </w:p>
    <w:p w14:paraId="23156BAA" w14:textId="77777777" w:rsidR="00206DAB" w:rsidRPr="00A46DA6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a meghirdetett árait előzetes bejelentés nélkül (például: csomagárak vagy egyéb kedvezmények okán) megváltoztathatja. Amennyiben a Vendég szállást foglalt és azt a Szolgáltató írásban visszaigazolta, úgy ezen a szállásáron a Szolgáltató már nem változtathat.</w:t>
      </w:r>
    </w:p>
    <w:p w14:paraId="46192255" w14:textId="5D05A935" w:rsidR="006C7BF8" w:rsidRDefault="00206DAB" w:rsidP="006C7BF8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A Vendég a szolgáltatások áráról tájékoztatást kaphat a szolgáltatásnyújtás megkezdése előtt a </w:t>
      </w:r>
      <w:hyperlink r:id="rId12" w:history="1">
        <w:r w:rsidR="00471AD6" w:rsidRPr="00310322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http://calypsocafe.hu/</w:t>
        </w:r>
      </w:hyperlink>
      <w:r w:rsidR="00471AD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honlapon vagy </w:t>
      </w:r>
      <w:hyperlink r:id="rId13" w:history="1">
        <w:r w:rsidR="00471AD6" w:rsidRPr="00471AD6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info@calypsocafe.hu</w:t>
        </w:r>
      </w:hyperlink>
      <w:r w:rsidR="00471AD6">
        <w:rPr>
          <w:rStyle w:val="Hiperhivatkozs"/>
          <w:color w:val="auto"/>
          <w:lang w:eastAsia="zh-CN"/>
        </w:rPr>
        <w:t xml:space="preserve"> 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>e-mail címen</w:t>
      </w:r>
      <w:r w:rsidR="00C931BA">
        <w:rPr>
          <w:rFonts w:ascii="Arial" w:eastAsia="Times New Roman" w:hAnsi="Arial" w:cs="Arial"/>
          <w:sz w:val="21"/>
          <w:szCs w:val="21"/>
          <w:lang w:eastAsia="hu-HU"/>
        </w:rPr>
        <w:t>, 8600 Siófok Harcsa utca 1. szám alatt</w:t>
      </w:r>
      <w:r w:rsidR="006C7BF8">
        <w:rPr>
          <w:rFonts w:ascii="Arial" w:eastAsia="Times New Roman" w:hAnsi="Arial" w:cs="Arial"/>
          <w:sz w:val="21"/>
          <w:szCs w:val="21"/>
          <w:lang w:eastAsia="hu-HU"/>
        </w:rPr>
        <w:t xml:space="preserve">, illetve közvetett szolgáltatók honlapján tájékozódva, pl. </w:t>
      </w:r>
      <w:hyperlink r:id="rId14" w:history="1">
        <w:r w:rsidR="006C7BF8" w:rsidRPr="00463833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www.booking.com</w:t>
        </w:r>
      </w:hyperlink>
    </w:p>
    <w:p w14:paraId="73EAC0F2" w14:textId="77777777" w:rsidR="006C7BF8" w:rsidRPr="006C7BF8" w:rsidRDefault="006C7BF8" w:rsidP="006C7BF8">
      <w:pPr>
        <w:pStyle w:val="Listaszerbekezds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14:paraId="582B264B" w14:textId="497269D5" w:rsidR="00C931BA" w:rsidRDefault="00206DAB" w:rsidP="00C931BA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Az árak közlésekor a Szolgáltató megjelöli az árak adótartalmának (ÁFA, IFA) ajánlattételkor érvényes, törvény által szabályozott mértékét. A közzétett árak tartalmazzák a törvényben meghatározott ÁFA-t, nem tartalmazzák azonban az idegenforgalmi adót. A Szolgáltató a hatályos adó-törvény (ÁFA, IFA) módosulása miatti többletterheket, előzetes értesítés mellett, áthárítja a Szerződő félre.</w:t>
      </w:r>
    </w:p>
    <w:p w14:paraId="15DFE575" w14:textId="73FA62C5" w:rsidR="00C931BA" w:rsidRPr="00C931BA" w:rsidRDefault="00C931BA" w:rsidP="00C931BA">
      <w:pPr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br w:type="page"/>
      </w:r>
    </w:p>
    <w:p w14:paraId="23156BAD" w14:textId="77777777" w:rsidR="00206DAB" w:rsidRPr="006C7BF8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lastRenderedPageBreak/>
        <w:t xml:space="preserve">Ajánlatok, </w:t>
      </w:r>
      <w:r w:rsidRPr="006C7BF8">
        <w:rPr>
          <w:rFonts w:eastAsia="Times New Roman"/>
          <w:lang w:eastAsia="hu-HU"/>
        </w:rPr>
        <w:t>kedvezmények</w:t>
      </w:r>
    </w:p>
    <w:p w14:paraId="23156BAE" w14:textId="77777777" w:rsidR="00471AD6" w:rsidRPr="006C7BF8" w:rsidRDefault="00471AD6" w:rsidP="00471AD6">
      <w:pPr>
        <w:rPr>
          <w:lang w:eastAsia="hu-HU"/>
        </w:rPr>
      </w:pPr>
    </w:p>
    <w:p w14:paraId="23156BAF" w14:textId="63229B9D" w:rsidR="005B3F00" w:rsidRPr="006C7BF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>Az aktuális ajánlatok, kedvezmények a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szálláshely 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weboldalán </w:t>
      </w:r>
      <w:r w:rsidR="00C931BA" w:rsidRPr="006C7BF8">
        <w:rPr>
          <w:rFonts w:ascii="Arial" w:eastAsia="Times New Roman" w:hAnsi="Arial" w:cs="Arial"/>
          <w:sz w:val="21"/>
          <w:szCs w:val="21"/>
          <w:lang w:eastAsia="hu-HU"/>
        </w:rPr>
        <w:t>és a booking.com-</w:t>
      </w:r>
      <w:proofErr w:type="spellStart"/>
      <w:r w:rsidR="00C931BA" w:rsidRPr="006C7BF8">
        <w:rPr>
          <w:rFonts w:ascii="Arial" w:eastAsia="Times New Roman" w:hAnsi="Arial" w:cs="Arial"/>
          <w:sz w:val="21"/>
          <w:szCs w:val="21"/>
          <w:lang w:eastAsia="hu-HU"/>
        </w:rPr>
        <w:t>on</w:t>
      </w:r>
      <w:proofErr w:type="spellEnd"/>
      <w:r w:rsidR="00C931BA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>kerülnek meghirdetésre. A</w:t>
      </w:r>
      <w:r w:rsidR="00C931BA" w:rsidRPr="006C7BF8">
        <w:rPr>
          <w:rFonts w:ascii="Arial" w:eastAsia="Times New Roman" w:hAnsi="Arial" w:cs="Arial"/>
          <w:sz w:val="21"/>
          <w:szCs w:val="21"/>
          <w:lang w:eastAsia="hu-HU"/>
        </w:rPr>
        <w:t>z e-mail-ben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meghirdetett kedvezmények mindig egyéni szobafoglalásra vonatkoznak.</w:t>
      </w:r>
    </w:p>
    <w:p w14:paraId="23156BB0" w14:textId="77777777" w:rsidR="00206DAB" w:rsidRPr="006C7BF8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6C7BF8">
        <w:rPr>
          <w:rFonts w:eastAsia="Times New Roman"/>
          <w:lang w:eastAsia="hu-HU"/>
        </w:rPr>
        <w:t>Szolgáltatást igénybevevők száma</w:t>
      </w:r>
    </w:p>
    <w:p w14:paraId="23156BB1" w14:textId="77777777" w:rsidR="00471AD6" w:rsidRPr="006C7BF8" w:rsidRDefault="00471AD6" w:rsidP="00471AD6">
      <w:pPr>
        <w:rPr>
          <w:lang w:eastAsia="hu-HU"/>
        </w:rPr>
      </w:pPr>
    </w:p>
    <w:p w14:paraId="23156BB2" w14:textId="6384BF9F" w:rsidR="00206DAB" w:rsidRPr="006C7BF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>Az apartmanok a szerződésben meghatározott létszámmal kerülnek átadásra, többletlétszám minden esetben előzetes írásbeli egyeztetés alapján felár ellenében kerül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>het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>elfogadásra.</w:t>
      </w:r>
    </w:p>
    <w:p w14:paraId="23156BB3" w14:textId="77777777" w:rsidR="00206DAB" w:rsidRPr="006C7BF8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6C7BF8">
        <w:rPr>
          <w:rFonts w:eastAsia="Times New Roman"/>
          <w:lang w:eastAsia="hu-HU"/>
        </w:rPr>
        <w:t>Lemondási feltételek</w:t>
      </w:r>
    </w:p>
    <w:p w14:paraId="23156BB4" w14:textId="77777777" w:rsidR="00471AD6" w:rsidRPr="006C7BF8" w:rsidRDefault="00471AD6" w:rsidP="00471AD6">
      <w:pPr>
        <w:rPr>
          <w:lang w:eastAsia="hu-HU"/>
        </w:rPr>
      </w:pPr>
    </w:p>
    <w:p w14:paraId="23156BB5" w14:textId="77777777" w:rsidR="00206DAB" w:rsidRPr="006C7BF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>Amennyiben az apartman ajánlatában más feltételt nem határozott meg, a lemondási és módosítási feltételek a következők:</w:t>
      </w:r>
    </w:p>
    <w:p w14:paraId="23156BB6" w14:textId="772E151C" w:rsidR="00206DAB" w:rsidRPr="006C7BF8" w:rsidRDefault="00206DAB" w:rsidP="0008672C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a visszaigazolt érkezés napját megelőző 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>60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napon belüli elállás esetén a kötbér összege 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>a teljes foglalás ára = nem visszamondható</w:t>
      </w:r>
    </w:p>
    <w:p w14:paraId="23156BB7" w14:textId="74444122" w:rsidR="00206DAB" w:rsidRPr="006C7BF8" w:rsidRDefault="00206DAB" w:rsidP="0008672C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a visszaigazolt érkezés napját megelőző 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>60 napon túl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i elállás esetén a kötbér összege 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>az első éjszaka árának megfelelő összeg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14:paraId="23156BB8" w14:textId="77777777" w:rsidR="00206DAB" w:rsidRPr="006C7BF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>Amennyiben a Szerződő fél gazdálkodó szervezet (ideértve a gazdasági társaságokat, társadalmi szervezeteket, egyházakat, önkormányzatokat, önkormányzati intézményeket, állami szervezeteket és azok intézményeit, stb.), az elállás esetén esedékes kötbért akkor is a Szerződő fél/Megrendelő köteles a Szolgáltatónak megfizetni, ha a szállásdíjat egyébként a Vendég viselné közvetlenül.</w:t>
      </w:r>
    </w:p>
    <w:p w14:paraId="23156BB9" w14:textId="77777777" w:rsidR="00206DAB" w:rsidRPr="006C7BF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>Ha a Szerződő fél a szállás szolgáltatások igénybevételét előlegfizetéssel biztosította, és az érkezési napon nem érkezik meg (írásos lemondás nem érkezik), a Szolgáltató a Szerződésben meghatározott mértékű megfizetett előleg teljes összegét kötbérként érvényesíti. Ebben az esetben a szállást a Szerződő fél részére az érkezési napot követő nap déli 12:00 óráig fenntartja, majd ezt követően a Szolgáltató szolgáltatási kötelezettsége megszűnik.</w:t>
      </w:r>
    </w:p>
    <w:p w14:paraId="23156BBA" w14:textId="2B03B0B7" w:rsidR="00206DAB" w:rsidRPr="006C7BF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Ha a Szerződő fél a szolgáltatások igénybevételét előlegfizetéssel, hitelkártya garanciával, vagy más, Szerződésben foglalt módon nem biztosította, 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vagy nem megfelelő hitelkártya adatok megadásával biztosította és annak pótlására a szolgáltató írásbeli figyelmeztetése után 24 órán belül sem tett eleget, 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a Szolgáltató szolgáltatási kötelezettsége 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nem áll fenn. </w:t>
      </w:r>
    </w:p>
    <w:p w14:paraId="23156BBB" w14:textId="77777777" w:rsidR="00206DAB" w:rsidRPr="006C7BF8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6C7BF8">
        <w:rPr>
          <w:rFonts w:eastAsia="Times New Roman"/>
          <w:lang w:eastAsia="hu-HU"/>
        </w:rPr>
        <w:t>Fizetés módja, garancia</w:t>
      </w:r>
    </w:p>
    <w:p w14:paraId="23156BBC" w14:textId="77777777" w:rsidR="00471AD6" w:rsidRPr="006C7BF8" w:rsidRDefault="00471AD6" w:rsidP="00471AD6">
      <w:pPr>
        <w:rPr>
          <w:lang w:eastAsia="hu-HU"/>
        </w:rPr>
      </w:pPr>
    </w:p>
    <w:p w14:paraId="23156BBD" w14:textId="3A1FA8DE" w:rsidR="00206DAB" w:rsidRPr="006C7BF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A megrendelt szolgáltatások ellenértéke fizethető a helyszínen készpénzzel (Forintban vagy Euroban), 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bankkártyával, 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>vagy átutalással.</w:t>
      </w:r>
    </w:p>
    <w:p w14:paraId="23156BBE" w14:textId="3CF5EC0C" w:rsidR="00206DAB" w:rsidRPr="006C7BF8" w:rsidRDefault="00206DAB" w:rsidP="00257B9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>Átutalás esetén – amennyiben a Szolgáltatóval kötött megállapodás másként nem rendelkezik – a megrendelt szolgáltatás ellenértékét a Vendég köteles a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foglalási szerződés szerint, az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érkezés megjelölt napja előtt a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szálláshely szolgáltató 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>bankszámlájára (</w:t>
      </w:r>
      <w:r w:rsidR="00257B96" w:rsidRPr="006C7BF8">
        <w:rPr>
          <w:rFonts w:ascii="Arial" w:eastAsia="Times New Roman" w:hAnsi="Arial" w:cs="Arial"/>
          <w:sz w:val="21"/>
          <w:szCs w:val="21"/>
          <w:lang w:eastAsia="hu-HU"/>
        </w:rPr>
        <w:t>11731001-23110928-00000000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) átutalni oly módon, hogy az adott összeget az érkezés napjáig a szolgáltató bankszámláján jóváírják vagy az átutalást a Vendég a számlavezető pénzintézete által kiadott, az átutalás megtörténtét igazoló visszavonhatatlan nyilatkozattal igazolja. Külön megállapodás esetén lehetőség van arra 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lastRenderedPageBreak/>
        <w:t xml:space="preserve">is, hogy az apartman által biztosított </w:t>
      </w:r>
      <w:r w:rsidR="00257B96" w:rsidRPr="006C7BF8">
        <w:rPr>
          <w:rFonts w:ascii="Arial" w:eastAsia="Times New Roman" w:hAnsi="Arial" w:cs="Arial"/>
          <w:sz w:val="21"/>
          <w:szCs w:val="21"/>
          <w:lang w:eastAsia="hu-HU"/>
        </w:rPr>
        <w:t>informatikai alkalmazás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segítségével az átutalást a Vendég a helyszínen intézze az apartman átvételével egyidejűleg.</w:t>
      </w:r>
    </w:p>
    <w:p w14:paraId="23156BBF" w14:textId="3CAF2BF8" w:rsidR="00206DAB" w:rsidRPr="006C7BF8" w:rsidRDefault="00206DAB" w:rsidP="00471AD6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Az egyéni foglalás garantálása bankkártya adatok megadásával vagy előlegfizetéssel lehetséges. Egyéb fizetési módok a helyszínen: 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>készpénz (</w:t>
      </w:r>
      <w:proofErr w:type="gramStart"/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>Ft,</w:t>
      </w:r>
      <w:proofErr w:type="gramEnd"/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vagy Euro), </w:t>
      </w:r>
      <w:r w:rsidR="00F968E4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Magyarországon forgalomban lévő összes 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>SZÉP kártya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, bankkártya, 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vagy </w:t>
      </w:r>
      <w:r w:rsidR="00F968E4" w:rsidRPr="006C7BF8">
        <w:rPr>
          <w:rFonts w:ascii="Arial" w:eastAsia="Times New Roman" w:hAnsi="Arial" w:cs="Arial"/>
          <w:sz w:val="21"/>
          <w:szCs w:val="21"/>
          <w:lang w:eastAsia="hu-HU"/>
        </w:rPr>
        <w:t>a Calypso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által kiállított </w:t>
      </w:r>
      <w:proofErr w:type="spellStart"/>
      <w:r w:rsidRPr="006C7BF8">
        <w:rPr>
          <w:rFonts w:ascii="Arial" w:eastAsia="Times New Roman" w:hAnsi="Arial" w:cs="Arial"/>
          <w:sz w:val="21"/>
          <w:szCs w:val="21"/>
          <w:lang w:eastAsia="hu-HU"/>
        </w:rPr>
        <w:t>voucherek</w:t>
      </w:r>
      <w:proofErr w:type="spellEnd"/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14:paraId="23156BC0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 szerződés teljesítésének elutasítása, a szolgáltatási kötelezettség megszűnése</w:t>
      </w:r>
    </w:p>
    <w:p w14:paraId="23156BC1" w14:textId="77777777" w:rsidR="00471AD6" w:rsidRPr="00471AD6" w:rsidRDefault="00471AD6" w:rsidP="00471AD6">
      <w:pPr>
        <w:rPr>
          <w:lang w:eastAsia="hu-HU"/>
        </w:rPr>
      </w:pPr>
    </w:p>
    <w:p w14:paraId="23156BC2" w14:textId="77777777" w:rsidR="00206DAB" w:rsidRPr="006C7BF8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jogosult a szállásszolgáltat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>ásra szóló Szerződést azonnali hatállyal felmondani, így a szolgáltatások nyújtását megtagadni, ha:</w:t>
      </w:r>
    </w:p>
    <w:p w14:paraId="23156BC3" w14:textId="77777777" w:rsidR="00206DAB" w:rsidRPr="006C7BF8" w:rsidRDefault="00206DAB" w:rsidP="00257B96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>a Vendég nem rendeltetésszerűen használja a rendelkezésre bocsátott szobát, illetve a létesítményt;</w:t>
      </w:r>
    </w:p>
    <w:p w14:paraId="23156BC4" w14:textId="1D3E5E65" w:rsidR="00206DAB" w:rsidRPr="006C7BF8" w:rsidRDefault="00206DAB" w:rsidP="00257B96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a Vendég a szobáját a bejelentkezéskor a távozás napjaként feltüntetett napon </w:t>
      </w:r>
      <w:r w:rsidR="00F968E4" w:rsidRPr="006C7BF8">
        <w:rPr>
          <w:rFonts w:ascii="Arial" w:eastAsia="Times New Roman" w:hAnsi="Arial" w:cs="Arial"/>
          <w:sz w:val="21"/>
          <w:szCs w:val="21"/>
          <w:lang w:eastAsia="hu-HU"/>
        </w:rPr>
        <w:t>11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>:00 óráig nem üríti ki és a tartózkodás meghosszabbításához a Szolgáltató előzetesen nem járult hozzá;</w:t>
      </w:r>
    </w:p>
    <w:p w14:paraId="23156BC5" w14:textId="3B81D4A0" w:rsidR="00206DAB" w:rsidRPr="006C7BF8" w:rsidRDefault="00206DAB" w:rsidP="00257B96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>a Vendég az apartman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>/ szoba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biztonságával, házirendjével</w:t>
      </w:r>
      <w:r w:rsidR="006C7BF8"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nem ért egyet</w:t>
      </w:r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, annak </w:t>
      </w:r>
      <w:proofErr w:type="spellStart"/>
      <w:r w:rsidRPr="006C7BF8">
        <w:rPr>
          <w:rFonts w:ascii="Arial" w:eastAsia="Times New Roman" w:hAnsi="Arial" w:cs="Arial"/>
          <w:sz w:val="21"/>
          <w:szCs w:val="21"/>
          <w:lang w:eastAsia="hu-HU"/>
        </w:rPr>
        <w:t>alkalmazottaival</w:t>
      </w:r>
      <w:proofErr w:type="spellEnd"/>
      <w:r w:rsidRPr="006C7BF8">
        <w:rPr>
          <w:rFonts w:ascii="Arial" w:eastAsia="Times New Roman" w:hAnsi="Arial" w:cs="Arial"/>
          <w:sz w:val="21"/>
          <w:szCs w:val="21"/>
          <w:lang w:eastAsia="hu-HU"/>
        </w:rPr>
        <w:t xml:space="preserve"> kifogásolhatóan, durván viselkedik, alkohol, vagy drogok befolyása alatt áll, fenyegető, sértő, vagy más elfogadhatatlan viselkedést tanúsít;</w:t>
      </w:r>
    </w:p>
    <w:p w14:paraId="23156BC6" w14:textId="77777777" w:rsidR="00206DAB" w:rsidRPr="006C7BF8" w:rsidRDefault="00206DAB" w:rsidP="00257B96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>a Vendég fertőző betegségben szenved;</w:t>
      </w:r>
    </w:p>
    <w:p w14:paraId="23156BC7" w14:textId="77777777" w:rsidR="00206DAB" w:rsidRPr="006C7BF8" w:rsidRDefault="00206DAB" w:rsidP="00257B96">
      <w:pPr>
        <w:numPr>
          <w:ilvl w:val="0"/>
          <w:numId w:val="1"/>
        </w:numPr>
        <w:spacing w:before="100" w:beforeAutospacing="1" w:after="100" w:afterAutospacing="1" w:line="240" w:lineRule="auto"/>
        <w:ind w:left="993" w:hanging="284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6C7BF8">
        <w:rPr>
          <w:rFonts w:ascii="Arial" w:eastAsia="Times New Roman" w:hAnsi="Arial" w:cs="Arial"/>
          <w:sz w:val="21"/>
          <w:szCs w:val="21"/>
          <w:lang w:eastAsia="hu-HU"/>
        </w:rPr>
        <w:t>a Szerződő fél nem teljesíti a Szerződésben meghatározott előlegfizetési kötelezettségét a meghatározott időpontig;</w:t>
      </w:r>
    </w:p>
    <w:p w14:paraId="23156BC8" w14:textId="77777777" w:rsidR="00206DAB" w:rsidRDefault="00206DAB" w:rsidP="00206DAB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Amennyiben a felek közötti Szerződés „vis major” okokból nem teljesül, a szerződés megszűnik.</w:t>
      </w:r>
    </w:p>
    <w:p w14:paraId="2D3E1191" w14:textId="11F7118B" w:rsidR="006C7BF8" w:rsidRPr="00A46DA6" w:rsidRDefault="006C7BF8" w:rsidP="00206DAB">
      <w:pPr>
        <w:spacing w:after="300" w:line="240" w:lineRule="auto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 xml:space="preserve">Ezen esetekben vendég nem jogosult semmilyen </w:t>
      </w:r>
      <w:proofErr w:type="gramStart"/>
      <w:r>
        <w:rPr>
          <w:rFonts w:ascii="Arial" w:eastAsia="Times New Roman" w:hAnsi="Arial" w:cs="Arial"/>
          <w:sz w:val="21"/>
          <w:szCs w:val="21"/>
          <w:lang w:eastAsia="hu-HU"/>
        </w:rPr>
        <w:t>kártérítésre,</w:t>
      </w:r>
      <w:proofErr w:type="gramEnd"/>
      <w:r>
        <w:rPr>
          <w:rFonts w:ascii="Arial" w:eastAsia="Times New Roman" w:hAnsi="Arial" w:cs="Arial"/>
          <w:sz w:val="21"/>
          <w:szCs w:val="21"/>
          <w:lang w:eastAsia="hu-HU"/>
        </w:rPr>
        <w:t xml:space="preserve"> vagy ellenszolgáltatásra.</w:t>
      </w:r>
    </w:p>
    <w:p w14:paraId="23156BC9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Elhelyezési garancia</w:t>
      </w:r>
    </w:p>
    <w:p w14:paraId="23156BCA" w14:textId="77777777" w:rsidR="00471AD6" w:rsidRPr="00471AD6" w:rsidRDefault="00471AD6" w:rsidP="00471AD6">
      <w:pPr>
        <w:rPr>
          <w:lang w:eastAsia="hu-HU"/>
        </w:rPr>
      </w:pPr>
    </w:p>
    <w:p w14:paraId="23156BCB" w14:textId="401B762A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Amennyiben a Szolgáltató apartmanja</w:t>
      </w:r>
      <w:r w:rsidR="00E141DD">
        <w:rPr>
          <w:rFonts w:ascii="Arial" w:eastAsia="Times New Roman" w:hAnsi="Arial" w:cs="Arial"/>
          <w:sz w:val="21"/>
          <w:szCs w:val="21"/>
          <w:lang w:eastAsia="hu-HU"/>
        </w:rPr>
        <w:t xml:space="preserve">/ </w:t>
      </w:r>
      <w:proofErr w:type="spellStart"/>
      <w:r w:rsidR="00E141DD">
        <w:rPr>
          <w:rFonts w:ascii="Arial" w:eastAsia="Times New Roman" w:hAnsi="Arial" w:cs="Arial"/>
          <w:sz w:val="21"/>
          <w:szCs w:val="21"/>
          <w:lang w:eastAsia="hu-HU"/>
        </w:rPr>
        <w:t>szobaái</w:t>
      </w:r>
      <w:proofErr w:type="spellEnd"/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 a Szerződésben szereplő szolgáltatásokat saját hibájából (pl. túltöltés, ideiglenes üzemeltetési </w:t>
      </w:r>
      <w:proofErr w:type="gramStart"/>
      <w:r w:rsidRPr="00A46DA6">
        <w:rPr>
          <w:rFonts w:ascii="Arial" w:eastAsia="Times New Roman" w:hAnsi="Arial" w:cs="Arial"/>
          <w:sz w:val="21"/>
          <w:szCs w:val="21"/>
          <w:lang w:eastAsia="hu-HU"/>
        </w:rPr>
        <w:t>problémák,</w:t>
      </w:r>
      <w:proofErr w:type="gramEnd"/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 stb.) nem tudja biztosítani, a Szolgáltató köteles a Vendég elhelyezéséről haladéktalanul gondoskodni, ellenkező esetben 1 éjszakának megfelelő apartman-ár, mint kötbér megfizetésére köteles, mellyel a szerződés megszűntnek tekinthető.</w:t>
      </w:r>
    </w:p>
    <w:p w14:paraId="23156BCC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Amennyiben a Szolgáltató ezen kötelezettségeinek maradéktalanul eleget tesz, illetve, ha a Vendég a számára felajánlott helyettesítő szálláslehetőséget elfogadta, utólagos kártérítési igénnyel a Szerződő fél nem élhet.</w:t>
      </w:r>
    </w:p>
    <w:p w14:paraId="23156BCD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 Vendég jogai</w:t>
      </w:r>
    </w:p>
    <w:p w14:paraId="23156BCE" w14:textId="77777777" w:rsidR="00471AD6" w:rsidRPr="00471AD6" w:rsidRDefault="00471AD6" w:rsidP="00471AD6">
      <w:pPr>
        <w:rPr>
          <w:lang w:eastAsia="hu-HU"/>
        </w:rPr>
      </w:pPr>
    </w:p>
    <w:p w14:paraId="23156BCF" w14:textId="5F7353AA" w:rsidR="00206DAB" w:rsidRPr="00E141D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szállás szolgáltatási szerződés megkötésével a Vendég jogosultságot szerez a bérelt apartman</w:t>
      </w:r>
      <w:r w:rsidR="00E141DD">
        <w:rPr>
          <w:rFonts w:ascii="Arial" w:eastAsia="Times New Roman" w:hAnsi="Arial" w:cs="Arial"/>
          <w:sz w:val="21"/>
          <w:szCs w:val="21"/>
          <w:lang w:eastAsia="hu-HU"/>
        </w:rPr>
        <w:t>/ szoba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 szokásos használatára, valamint az elszállásolási üzem szokás szerint és különösebb feltételek nélkül Vendégek használatára bocsátott létesítményeinek </w:t>
      </w:r>
      <w:r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szokásos használatára. Az apartman átvételével a Vendég </w:t>
      </w:r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kap </w:t>
      </w:r>
      <w:r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1 db </w:t>
      </w:r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t>mester</w:t>
      </w:r>
      <w:r w:rsidRPr="00E141DD">
        <w:rPr>
          <w:rFonts w:ascii="Arial" w:eastAsia="Times New Roman" w:hAnsi="Arial" w:cs="Arial"/>
          <w:sz w:val="21"/>
          <w:szCs w:val="21"/>
          <w:lang w:eastAsia="hu-HU"/>
        </w:rPr>
        <w:t>kulcsot</w:t>
      </w:r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 a szálláshely főbejáratához, valamint </w:t>
      </w:r>
      <w:r w:rsidRPr="00E141DD">
        <w:rPr>
          <w:rFonts w:ascii="Arial" w:eastAsia="Times New Roman" w:hAnsi="Arial" w:cs="Arial"/>
          <w:sz w:val="21"/>
          <w:szCs w:val="21"/>
          <w:lang w:eastAsia="hu-HU"/>
        </w:rPr>
        <w:t>1 db</w:t>
      </w:r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 proxykártyát az </w:t>
      </w:r>
      <w:r w:rsidR="00066997" w:rsidRPr="00E141DD">
        <w:rPr>
          <w:rFonts w:ascii="Arial" w:eastAsia="Times New Roman" w:hAnsi="Arial" w:cs="Arial"/>
          <w:sz w:val="21"/>
          <w:szCs w:val="21"/>
          <w:lang w:eastAsia="hu-HU"/>
        </w:rPr>
        <w:t>apartman</w:t>
      </w:r>
      <w:r w:rsidRPr="00E141DD">
        <w:rPr>
          <w:rFonts w:ascii="Arial" w:eastAsia="Times New Roman" w:hAnsi="Arial" w:cs="Arial"/>
          <w:sz w:val="21"/>
          <w:szCs w:val="21"/>
          <w:lang w:eastAsia="hu-HU"/>
        </w:rPr>
        <w:t>ba</w:t>
      </w:r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/ szobába és az emeleti </w:t>
      </w:r>
      <w:proofErr w:type="gramStart"/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folyosóra </w:t>
      </w:r>
      <w:r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 történő</w:t>
      </w:r>
      <w:proofErr w:type="gramEnd"/>
      <w:r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257B96" w:rsidRPr="00E141DD">
        <w:rPr>
          <w:rFonts w:ascii="Arial" w:eastAsia="Times New Roman" w:hAnsi="Arial" w:cs="Arial"/>
          <w:sz w:val="21"/>
          <w:szCs w:val="21"/>
          <w:lang w:eastAsia="hu-HU"/>
        </w:rPr>
        <w:t>belépéshez</w:t>
      </w:r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t>.</w:t>
      </w:r>
      <w:r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 A szerződő felek megállapodnak abban, hogy a kulcsok elvesztése illetve megrongálódása esetén a Vendég köteles annak árát a szolgáltató felé megfizetni. A </w:t>
      </w:r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t xml:space="preserve">mesterkulcs elvesztése esetén a teljes zárcsere és az összes </w:t>
      </w:r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lastRenderedPageBreak/>
        <w:t xml:space="preserve">kulcs cseréje fizetendő (biztonsági okokból szükséges intézkedés). Ennek a költsége mindenkori árajánlat alapján kerül </w:t>
      </w:r>
      <w:proofErr w:type="spellStart"/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t>továbbszámlázásra</w:t>
      </w:r>
      <w:proofErr w:type="spellEnd"/>
      <w:r w:rsidR="00E141DD" w:rsidRPr="00E141DD">
        <w:rPr>
          <w:rFonts w:ascii="Arial" w:eastAsia="Times New Roman" w:hAnsi="Arial" w:cs="Arial"/>
          <w:sz w:val="21"/>
          <w:szCs w:val="21"/>
          <w:lang w:eastAsia="hu-HU"/>
        </w:rPr>
        <w:t>.  Proxy kártya elvesztése: 5.000 Ft/ db.</w:t>
      </w:r>
    </w:p>
    <w:p w14:paraId="23156BD0" w14:textId="6E850611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141DD">
        <w:rPr>
          <w:rFonts w:ascii="Arial" w:eastAsia="Times New Roman" w:hAnsi="Arial" w:cs="Arial"/>
          <w:sz w:val="21"/>
          <w:szCs w:val="21"/>
          <w:lang w:eastAsia="hu-HU"/>
        </w:rPr>
        <w:t>A Vendég a Szolgáltató által nyújtott szolgáltatások teljesítésével kapcsolatban panasszal élhet a szálláshelyen való tartózkodás időtartama alatt. A Szolgáltató ezen időszakban hozzá írásban igazoltan eljuttatott (vagy általa jegyzőkönyvbe felvett) panasz kezelésére</w:t>
      </w:r>
      <w:r w:rsidR="00E141DD">
        <w:rPr>
          <w:rFonts w:ascii="Arial" w:eastAsia="Times New Roman" w:hAnsi="Arial" w:cs="Arial"/>
          <w:sz w:val="21"/>
          <w:szCs w:val="21"/>
          <w:lang w:eastAsia="hu-HU"/>
        </w:rPr>
        <w:t>, kivizsgálására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 vállal kötelezettséget.</w:t>
      </w:r>
    </w:p>
    <w:p w14:paraId="23156BD1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 Vendég kötelességei</w:t>
      </w:r>
    </w:p>
    <w:p w14:paraId="23156BD2" w14:textId="77777777" w:rsidR="00471AD6" w:rsidRPr="00471AD6" w:rsidRDefault="00471AD6" w:rsidP="00471AD6">
      <w:pPr>
        <w:rPr>
          <w:lang w:eastAsia="hu-HU"/>
        </w:rPr>
      </w:pPr>
    </w:p>
    <w:p w14:paraId="23156BD3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A megállapodás szerinti díj megfizetése: a visszaigazolásban rögzített határidőig, vagy a </w:t>
      </w:r>
      <w:r w:rsidR="00066997">
        <w:rPr>
          <w:rFonts w:ascii="Arial" w:eastAsia="Times New Roman" w:hAnsi="Arial" w:cs="Arial"/>
          <w:sz w:val="21"/>
          <w:szCs w:val="21"/>
          <w:lang w:eastAsia="hu-HU"/>
        </w:rPr>
        <w:t>korábban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 megjelölt esedékességig.</w:t>
      </w:r>
    </w:p>
    <w:p w14:paraId="23156BD4" w14:textId="7CB80CB9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Vendégek által szálláshelyre behozott olyan elektrom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os készülékek üzembe helyezése előtt, melyek nem tartoznak a megszokott utazási szükségletek közé, ki kell kérni a Szolgáltató hozzájárulását.</w:t>
      </w:r>
    </w:p>
    <w:p w14:paraId="3BCD12B6" w14:textId="36D6BF2E" w:rsidR="00F968E4" w:rsidRPr="00C57EAD" w:rsidRDefault="00F968E4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Jakuzzi használat előtt kötelező a Vendégek zuhanyzása, krémek, sminkek, naptejek lemosása a bőrről. Jakuzzi használat közben sem ételt sem italt nem lehet fogyasztani a medence térben.</w:t>
      </w:r>
    </w:p>
    <w:p w14:paraId="23156BD5" w14:textId="462AABC2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A szemetet az apartmanban elhelyezett szemétgyűjtő edényekbe köteles a Vendég kidobni</w:t>
      </w:r>
      <w:r w:rsidR="00F968E4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lehetősége szerint </w:t>
      </w:r>
      <w:r w:rsidR="00445AFE" w:rsidRPr="00C57EAD">
        <w:rPr>
          <w:rFonts w:ascii="Arial" w:eastAsia="Times New Roman" w:hAnsi="Arial" w:cs="Arial"/>
          <w:sz w:val="21"/>
          <w:szCs w:val="21"/>
          <w:lang w:eastAsia="hu-HU"/>
        </w:rPr>
        <w:t>szelektíven szelektálva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. Az apartmanból, illetve az épületből bútorokat</w:t>
      </w:r>
      <w:r w:rsidR="00E141DD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, berendezési tárgyakat, eszközöket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kivinni, áthelyezni nem lehet</w:t>
      </w:r>
      <w:r w:rsidR="00E141DD" w:rsidRPr="00C57EAD">
        <w:rPr>
          <w:rFonts w:ascii="Arial" w:eastAsia="Times New Roman" w:hAnsi="Arial" w:cs="Arial"/>
          <w:sz w:val="21"/>
          <w:szCs w:val="21"/>
          <w:lang w:eastAsia="hu-HU"/>
        </w:rPr>
        <w:t>, tilos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p w14:paraId="23156BD6" w14:textId="77777777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A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>z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>apartman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területén lévő eszközöket, berendezéseket a Vendég kizárólag saját felelősségére, használhatja, a kifüggesztett használati/kezelési útmutatókban leírtak kötelező érvényű betartása mellett.</w:t>
      </w:r>
    </w:p>
    <w:p w14:paraId="23156BD7" w14:textId="6DC242C0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A nemdohányzók védelméről szóló 1999. évi XLII. törvény végrehajtása értelmében az apartman, ille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tve a hozzá kapcsolódó étterem rész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nemdohányzó létesítmény.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Ennek értelmében az apartman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zárt helyiségeiben</w:t>
      </w:r>
      <w:r w:rsidR="00E141DD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tilos a dohányzás. </w:t>
      </w:r>
      <w:r w:rsidR="00E141DD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A teraszon csakis akkor megengedett a dohányzás, ha az a mellette lévő apartman lakóit nem zavarja.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A hivatkozott jogszabály betartására vonatkozó kötelességre felhívó jelzéseket a jog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szabályban előírt területeken a Szolgáltató elhelyezte. Az apartman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alkalmazottai jogosultak a vendégeket, valamint az 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>apartman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területén tartózkodó bármely más személyt figyelmeztetni a jogszabály betartására, illetve a jogszerűtlen magatartás abbahagyására. A vendégek, illetve az 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>apartman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területén tartózkodó bármely személy köteles a jogszabály betartására, valamint az esetleges felszólítás teljesítésére. Amennyiben bármely vendég vagy az apartman-ház területén tartózkodó egyéb személy jogsértő magatartása miatt a szolgáltatót, vagy a szálloda üzemeltetőjét az illetékes hatóság a hivatkozott jogszabály alapján bírsággal sújtja, úgy a szolgáltató fenntartja magának a jogot, hogy az adott jogsértő magatartást tanúsító személyre a bírság összegét áthárítsa, illetve annak megfizetését tőle követelje.</w:t>
      </w:r>
    </w:p>
    <w:p w14:paraId="23156BD8" w14:textId="77777777" w:rsidR="00066997" w:rsidRPr="00C57EAD" w:rsidRDefault="00206DAB" w:rsidP="00B42E61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Tűz ese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tén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a szolgáltatót kell haladéktalanul értesíteni. A Vendégek kötelesek tűz vagy egyéb riasztás esetén az apartmant, illetve az 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>apartman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közös rendeltetésű tereit az ott elhelyezett tájékoztató szerint a lehető leghamarabb elhagyni. </w:t>
      </w:r>
    </w:p>
    <w:p w14:paraId="23156BD9" w14:textId="77777777" w:rsidR="00206DAB" w:rsidRPr="00C57EAD" w:rsidRDefault="00206DAB" w:rsidP="00B42E61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Az apartman közös használatú eszközeit, berendezési tárgyait közösen használó Vendégek a rendeltetésellenes használat során bekövetkezett károkozásért egyetemlegesen felelnek.</w:t>
      </w:r>
    </w:p>
    <w:p w14:paraId="23156BDA" w14:textId="5F790139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A Vendég által hozott tűzijátékhoz és egyéb engedélyköteles tevékenységhez a szolgáltató írásos hozzájárulása, továbbá a Vendégek általi hatósági engedélyek beszerzése szükséges.</w:t>
      </w:r>
    </w:p>
    <w:p w14:paraId="4030E417" w14:textId="47695B77" w:rsidR="00445AFE" w:rsidRPr="00C57EAD" w:rsidRDefault="00445AFE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A Vendég a szobához tartozó teraszon nem grillezhet, tüzet nem gyújthat, elektromos-, gázüzemű berendezést nem használhat. </w:t>
      </w:r>
    </w:p>
    <w:p w14:paraId="23156BDB" w14:textId="3805A2D7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A Vendég gondoskodik arról, hogy a felelőssége alá tartozó 14 év alatti gyermek csak felnőtt felügyelete mellett tartózkodjon a Szolgáltató apartmanjában</w:t>
      </w:r>
      <w:r w:rsidR="00E141DD" w:rsidRPr="00C57EAD">
        <w:rPr>
          <w:rFonts w:ascii="Arial" w:eastAsia="Times New Roman" w:hAnsi="Arial" w:cs="Arial"/>
          <w:sz w:val="21"/>
          <w:szCs w:val="21"/>
          <w:lang w:eastAsia="hu-HU"/>
        </w:rPr>
        <w:t>, szobáiban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és a hozzá kapcsolódó </w:t>
      </w:r>
      <w:r w:rsidR="00E141DD" w:rsidRPr="00C57EAD">
        <w:rPr>
          <w:rFonts w:ascii="Arial" w:eastAsia="Times New Roman" w:hAnsi="Arial" w:cs="Arial"/>
          <w:sz w:val="21"/>
          <w:szCs w:val="21"/>
          <w:lang w:eastAsia="hu-HU"/>
        </w:rPr>
        <w:t>teraszokon, folyosón.</w:t>
      </w:r>
    </w:p>
    <w:p w14:paraId="23156BDC" w14:textId="77777777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A Vendégnek az őt ért kárt azonnal jelentenie kell a Szolgáltatónál, és minden szükséges adatot rendelkezésére kell bocsátania, amely a káreset körülményeinek tisztázásához, esetleg a rendőrségi jegyzőkönyv felvételéhez/rendőrségi eljáráshoz szükséges.</w:t>
      </w:r>
    </w:p>
    <w:p w14:paraId="23156BDD" w14:textId="047D4008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lastRenderedPageBreak/>
        <w:t xml:space="preserve">A Vendég kifejezetten tudomásul veszi, hogy </w:t>
      </w:r>
      <w:r w:rsidR="00E141DD" w:rsidRPr="00C57EAD">
        <w:rPr>
          <w:rFonts w:ascii="Arial" w:eastAsia="Times New Roman" w:hAnsi="Arial" w:cs="Arial"/>
          <w:sz w:val="21"/>
          <w:szCs w:val="21"/>
          <w:lang w:eastAsia="hu-HU"/>
        </w:rPr>
        <w:t>a szálláshely és az étterem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közös használatú területein (kivéve öltözők, mellékhelyiségek, de beleértve a gépkocsi parkolót és a</w:t>
      </w:r>
      <w:r w:rsidR="00E141DD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z étteremhez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közvetlenül tartozó külső területeket) vagyonvédelmi okokból zártláncú kamerarendszert üzemeltet, melynek felvételei a vonatkozó jogszabályi előírások alapján törlésre kerülnek.</w:t>
      </w:r>
    </w:p>
    <w:p w14:paraId="23156BDE" w14:textId="642293CD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A Vendég (ideértve </w:t>
      </w:r>
      <w:r w:rsidR="00C57EAD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a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Vendéggel együtt utazó személyeket is) köteles az apartman, az apartman-ház épületét és annak közvetlen környezetét rendeltetésszerűen és a többi vendég, illetve látogató szükségtelen zavarása nélkül használni.</w:t>
      </w:r>
    </w:p>
    <w:p w14:paraId="23156BDF" w14:textId="1BA75FA4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Elutazáskor a Vendég köteles előre egyeztetett időpontban a</w:t>
      </w:r>
      <w:r w:rsidR="00C57EAD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szobakártyát és a bejárati ajtó kulcsát a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szolgáltató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nak vagy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megbízottjának</w:t>
      </w:r>
      <w:r w:rsidR="00C57EAD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személyesen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átadni. Ennek elmulasztása, illetve a kártya</w:t>
      </w:r>
      <w:r w:rsidR="00C57EAD" w:rsidRPr="00C57EAD">
        <w:rPr>
          <w:rFonts w:ascii="Arial" w:eastAsia="Times New Roman" w:hAnsi="Arial" w:cs="Arial"/>
          <w:sz w:val="21"/>
          <w:szCs w:val="21"/>
          <w:lang w:eastAsia="hu-HU"/>
        </w:rPr>
        <w:t>/kulcs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elvesztése vagy megsemmisülése esetén a Szolgáltató </w:t>
      </w:r>
      <w:r w:rsidR="00066997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jogosult az adott kártya után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kártérítési díjat felszámítani, melyet a Vendég távozáskor köteles megfizetni.</w:t>
      </w:r>
    </w:p>
    <w:p w14:paraId="23156BE0" w14:textId="77777777" w:rsidR="00206DAB" w:rsidRPr="00C57EAD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C57EAD">
        <w:rPr>
          <w:rFonts w:eastAsia="Times New Roman"/>
          <w:lang w:eastAsia="hu-HU"/>
        </w:rPr>
        <w:t>Állatok behozatala</w:t>
      </w:r>
    </w:p>
    <w:p w14:paraId="23156BE1" w14:textId="77777777" w:rsidR="00471AD6" w:rsidRPr="00C57EAD" w:rsidRDefault="00471AD6" w:rsidP="00471AD6">
      <w:pPr>
        <w:rPr>
          <w:lang w:eastAsia="hu-HU"/>
        </w:rPr>
      </w:pPr>
    </w:p>
    <w:p w14:paraId="23156BE2" w14:textId="67D28F7A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Háziállat behozatala a</w:t>
      </w:r>
      <w:r w:rsidR="00C57EAD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 szobákba és az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apartmanba tilos.</w:t>
      </w:r>
    </w:p>
    <w:p w14:paraId="23156BE3" w14:textId="77777777" w:rsidR="00206DAB" w:rsidRPr="00C57EAD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C57EAD">
        <w:rPr>
          <w:rFonts w:eastAsia="Times New Roman"/>
          <w:lang w:eastAsia="hu-HU"/>
        </w:rPr>
        <w:t>A Szolgáltató jogai</w:t>
      </w:r>
    </w:p>
    <w:p w14:paraId="23156BE4" w14:textId="77777777" w:rsidR="00471AD6" w:rsidRPr="00C57EAD" w:rsidRDefault="00471AD6" w:rsidP="00471AD6">
      <w:pPr>
        <w:rPr>
          <w:lang w:eastAsia="hu-HU"/>
        </w:rPr>
      </w:pPr>
    </w:p>
    <w:p w14:paraId="23156BE5" w14:textId="77777777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Amennyiben a Vendég az igénybevett, vagy a Szerződésben megrendelt, de igénybe nem vett kötbérköteles szolgáltatások díjának megfizetésére vonatkozó kötelezettségének nem tesz eleget, a Szolgáltatót követelései biztosítására zálogjog illeti meg a Vendégnek azon személyes tulajdontárgyain, amelyeket az apartmanba magával vitt.</w:t>
      </w:r>
    </w:p>
    <w:p w14:paraId="23156BE6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>Amennyiben a Vendég az igénybevett vagy megrendelt, de igénybe nem vett kötbérköteles (térítésköteles) szolgáltatások díjának megfizetésére vonatkozó kötelezettségének nem tesz eleget, úgy a Szolgáltatót követelései biztosítására a magyar Polgári Törvénykönyv szerint zálogjog illeti meg a Vendég azon személyes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 tulajdonú tárgyain, melyeket az apartmanba magával vitt. Erre a zálogjogra a bérbeadó zálogjogának szabályát kell megfelelően alkalmazni. A Szolgáltató mindaddig, amíg a zálogjoga fennáll, megakadályozhatja a zálogjoggal terhelt vagyontárgyak elszállítását. Amennyiben a zálogként igénybe vett tárgy a Vendég tulajdonában álló gépjármű, annak zálogtárgyként való visszatartása kizárólag a zálogtárgyra vonatkozik, semmiképpen sem a Vendég vagy a vele együtt utazók személyes mozgási szabadságának korlátozására. A személyek minden egyéb korlátozás nélkül elhagyhatják az apartmant és annak területét.</w:t>
      </w:r>
    </w:p>
    <w:p w14:paraId="23156BE7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 Szolgáltató kötelezettségei</w:t>
      </w:r>
    </w:p>
    <w:p w14:paraId="23156BE8" w14:textId="77777777" w:rsidR="00471AD6" w:rsidRPr="00471AD6" w:rsidRDefault="00471AD6" w:rsidP="00471AD6">
      <w:pPr>
        <w:rPr>
          <w:lang w:eastAsia="hu-HU"/>
        </w:rPr>
      </w:pPr>
    </w:p>
    <w:p w14:paraId="23156BE9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szerződés alapján megrendelt szállás és egyéb szolgáltatások az érvényes előírások, szolgáltatás standardok szerinti teljesítése.</w:t>
      </w:r>
    </w:p>
    <w:p w14:paraId="23156BEA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Vendég írásos panaszának kivizsgálása és a probléma kezeléséhez szükséges lépések megtétele, azok írásban történő rögzítése.</w:t>
      </w:r>
    </w:p>
    <w:p w14:paraId="23156BEB" w14:textId="77777777" w:rsidR="00206DAB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Az apartman-ház területén, valamint a teraszokon Vendégeink nyugalma érdekében 22.00 órát követő időszakban hangoskodni tilos, beleértve az apartman belső tereiben történő zavaró hangerejű televíziózást, zenehallgatást, valamint más területeken történő hangos zenélést.</w:t>
      </w:r>
    </w:p>
    <w:p w14:paraId="23156BEC" w14:textId="77777777" w:rsidR="00C4437C" w:rsidRDefault="00C4437C" w:rsidP="00C4437C">
      <w:pPr>
        <w:pStyle w:val="Listaszerbekezds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14:paraId="42C2D8F9" w14:textId="77777777" w:rsidR="00C57EAD" w:rsidRDefault="00C57EAD" w:rsidP="00C4437C">
      <w:pPr>
        <w:pStyle w:val="Listaszerbekezds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14:paraId="5AFB4F8A" w14:textId="77777777" w:rsidR="00C57EAD" w:rsidRDefault="00C57EAD" w:rsidP="00C4437C">
      <w:pPr>
        <w:pStyle w:val="Listaszerbekezds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14:paraId="23156BED" w14:textId="77777777" w:rsidR="00C4437C" w:rsidRDefault="00C4437C" w:rsidP="00C4437C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C4437C">
        <w:rPr>
          <w:rFonts w:eastAsia="Times New Roman"/>
          <w:lang w:eastAsia="hu-HU"/>
        </w:rPr>
        <w:lastRenderedPageBreak/>
        <w:t>Panaszkezelés általános szabályai</w:t>
      </w:r>
    </w:p>
    <w:p w14:paraId="23156BEE" w14:textId="77777777" w:rsidR="00C4437C" w:rsidRPr="00C4437C" w:rsidRDefault="00C4437C" w:rsidP="00C4437C">
      <w:pPr>
        <w:rPr>
          <w:lang w:eastAsia="hu-HU"/>
        </w:rPr>
      </w:pPr>
    </w:p>
    <w:p w14:paraId="23156BEF" w14:textId="77777777" w:rsidR="00C4437C" w:rsidRDefault="00C4437C" w:rsidP="00C4437C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Amennyiben a 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Vendég az </w:t>
      </w:r>
      <w:proofErr w:type="spellStart"/>
      <w:r>
        <w:rPr>
          <w:rFonts w:ascii="Arial" w:eastAsia="Times New Roman" w:hAnsi="Arial" w:cs="Arial"/>
          <w:sz w:val="21"/>
          <w:szCs w:val="21"/>
          <w:lang w:eastAsia="hu-HU"/>
        </w:rPr>
        <w:t>Fgytv</w:t>
      </w:r>
      <w:proofErr w:type="spellEnd"/>
      <w:r>
        <w:rPr>
          <w:rFonts w:ascii="Arial" w:eastAsia="Times New Roman" w:hAnsi="Arial" w:cs="Arial"/>
          <w:sz w:val="21"/>
          <w:szCs w:val="21"/>
          <w:lang w:eastAsia="hu-HU"/>
        </w:rPr>
        <w:t>. rendelkezései szerint fogyasztónak minősül, a Honlap és a Szolgáltató által nyújtott szolgáltatásokkal kapcsolatos fogyasztói kifogásokat a Szolgáltató elérhetőségein terjeszthet elő írásban, elektronikusan vagy szóban, azzal, hogy szóbeli panasz esetén kizárólag azt munkaidőben lehetséges megtenni.</w:t>
      </w:r>
    </w:p>
    <w:p w14:paraId="23156BF0" w14:textId="77777777" w:rsidR="00C4437C" w:rsidRDefault="00C4437C" w:rsidP="00C4437C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B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ármilyen panasz esetén </w:t>
      </w:r>
      <w:r>
        <w:rPr>
          <w:rFonts w:ascii="Arial" w:eastAsia="Times New Roman" w:hAnsi="Arial" w:cs="Arial"/>
          <w:sz w:val="21"/>
          <w:szCs w:val="21"/>
          <w:lang w:eastAsia="hu-HU"/>
        </w:rPr>
        <w:t>a Szolgáltató az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proofErr w:type="spellStart"/>
      <w:r w:rsidRPr="00C4437C">
        <w:rPr>
          <w:rFonts w:ascii="Arial" w:eastAsia="Times New Roman" w:hAnsi="Arial" w:cs="Arial"/>
          <w:sz w:val="21"/>
          <w:szCs w:val="21"/>
          <w:lang w:eastAsia="hu-HU"/>
        </w:rPr>
        <w:t>Fgytv</w:t>
      </w:r>
      <w:proofErr w:type="spellEnd"/>
      <w:r w:rsidRPr="00C4437C">
        <w:rPr>
          <w:rFonts w:ascii="Arial" w:eastAsia="Times New Roman" w:hAnsi="Arial" w:cs="Arial"/>
          <w:sz w:val="21"/>
          <w:szCs w:val="21"/>
          <w:lang w:eastAsia="hu-HU"/>
        </w:rPr>
        <w:t>. rendelkezései alapján jár el, így a hatályos jogszabályok értelmében a szóbeli panaszt azonnal kivizsgálásra kerül, és szükség szerint orvosolásra is, amennyiben a panasz jellege ezt megengedi.</w:t>
      </w:r>
      <w:r w:rsidRPr="00C4437C">
        <w:t xml:space="preserve"> 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Ha a panasz kezelésével </w:t>
      </w:r>
      <w:r>
        <w:rPr>
          <w:rFonts w:ascii="Arial" w:eastAsia="Times New Roman" w:hAnsi="Arial" w:cs="Arial"/>
          <w:sz w:val="21"/>
          <w:szCs w:val="21"/>
          <w:lang w:eastAsia="hu-HU"/>
        </w:rPr>
        <w:t>Vendég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 nem ért egyet, vagy a panasz azonnali kivizsgálása nem lehetséges, akkor a panaszról és az azzal kapcsolatos álláspontról haladéktalanul jegyzőkönyv készül és annak egy másolati példánya személyesen közölt szóbeli panasz esetén helyben átadásra kerül </w:t>
      </w:r>
      <w:r>
        <w:rPr>
          <w:rFonts w:ascii="Arial" w:eastAsia="Times New Roman" w:hAnsi="Arial" w:cs="Arial"/>
          <w:sz w:val="21"/>
          <w:szCs w:val="21"/>
          <w:lang w:eastAsia="hu-HU"/>
        </w:rPr>
        <w:t>Vendég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 részére.</w:t>
      </w:r>
    </w:p>
    <w:p w14:paraId="23156BF1" w14:textId="77777777" w:rsidR="00C4437C" w:rsidRDefault="00C4437C" w:rsidP="00C4437C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>A Szolgáltató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 címünkre vagy e-mail elérhetőségére megküldött panasz esetén az írásbeli panaszt a beérkezését követő harminc napon belül </w:t>
      </w:r>
      <w:r>
        <w:rPr>
          <w:rFonts w:ascii="Arial" w:eastAsia="Times New Roman" w:hAnsi="Arial" w:cs="Arial"/>
          <w:sz w:val="21"/>
          <w:szCs w:val="21"/>
          <w:lang w:eastAsia="hu-HU"/>
        </w:rPr>
        <w:t>a Szolgáltató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 megvizsgálja és érdemben megválaszolja, továbbá intézkedik arról, hogy a válasz eljusson </w:t>
      </w:r>
      <w:r>
        <w:rPr>
          <w:rFonts w:ascii="Arial" w:eastAsia="Times New Roman" w:hAnsi="Arial" w:cs="Arial"/>
          <w:sz w:val="21"/>
          <w:szCs w:val="21"/>
          <w:lang w:eastAsia="hu-HU"/>
        </w:rPr>
        <w:t>Vendéghez. Ha a panasz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 elutasításra kerül, 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a Szolgáltató 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az álláspontjáról az elutasításra vonatkozó érdemi válaszában, indokolással együtt tájékoztatja </w:t>
      </w:r>
      <w:r>
        <w:rPr>
          <w:rFonts w:ascii="Arial" w:eastAsia="Times New Roman" w:hAnsi="Arial" w:cs="Arial"/>
          <w:sz w:val="21"/>
          <w:szCs w:val="21"/>
          <w:lang w:eastAsia="hu-HU"/>
        </w:rPr>
        <w:t>Vendéget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. A panaszról felvett jegyzőkönyvet és a válasz másolati példányát </w:t>
      </w:r>
      <w:r>
        <w:rPr>
          <w:rFonts w:ascii="Arial" w:eastAsia="Times New Roman" w:hAnsi="Arial" w:cs="Arial"/>
          <w:sz w:val="21"/>
          <w:szCs w:val="21"/>
          <w:lang w:eastAsia="hu-HU"/>
        </w:rPr>
        <w:t>a Szolgáltató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 három évig megőrzi.</w:t>
      </w:r>
    </w:p>
    <w:p w14:paraId="23156BF2" w14:textId="77777777" w:rsidR="00C4437C" w:rsidRDefault="00C4437C" w:rsidP="00C4437C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Amennyiben a fennálló fogyasztói jogvita nem rendeződik a tárgyalások során, úgy </w:t>
      </w:r>
      <w:r w:rsidR="00EC00EE">
        <w:rPr>
          <w:rFonts w:ascii="Arial" w:eastAsia="Times New Roman" w:hAnsi="Arial" w:cs="Arial"/>
          <w:sz w:val="21"/>
          <w:szCs w:val="21"/>
          <w:lang w:eastAsia="hu-HU"/>
        </w:rPr>
        <w:t>Vendég</w:t>
      </w:r>
      <w:r w:rsidRPr="00C4437C">
        <w:rPr>
          <w:rFonts w:ascii="Arial" w:eastAsia="Times New Roman" w:hAnsi="Arial" w:cs="Arial"/>
          <w:sz w:val="21"/>
          <w:szCs w:val="21"/>
          <w:lang w:eastAsia="hu-HU"/>
        </w:rPr>
        <w:t xml:space="preserve"> jogosult alábbi jogérvényesítési lehetőségeket igénybe venni:</w:t>
      </w:r>
    </w:p>
    <w:p w14:paraId="23156BF3" w14:textId="77777777" w:rsidR="00EC00EE" w:rsidRDefault="00EC00EE" w:rsidP="00EC00EE">
      <w:pPr>
        <w:pStyle w:val="Listaszerbekezds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14:paraId="23156BF4" w14:textId="77777777" w:rsidR="00EC00EE" w:rsidRPr="00C57EAD" w:rsidRDefault="00EC00EE" w:rsidP="00EC00EE">
      <w:pPr>
        <w:pStyle w:val="Listaszerbekezds"/>
        <w:numPr>
          <w:ilvl w:val="0"/>
          <w:numId w:val="15"/>
        </w:numPr>
        <w:spacing w:after="30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57EAD">
        <w:rPr>
          <w:rFonts w:ascii="Arial" w:eastAsia="Times New Roman" w:hAnsi="Arial" w:cs="Arial"/>
          <w:sz w:val="16"/>
          <w:szCs w:val="16"/>
          <w:lang w:eastAsia="hu-HU"/>
        </w:rPr>
        <w:t>Panasztétel a fogyasztóvédelmi hatóságoknál: Amennyiben Felhasználó a fogyasztói jogai megsértését észleli, jogosult panasszal fordulni a lakóhelye vagy tartózkodási helye szerint illetékes fogyasztóvédelmi Hatósághoz. A panasz elbírálását követően a hatóság dönt a fogyasztóvédelmi eljárás lefolytatásáról. A hatáskörrel és illetékességgel rendelkező hatóságok listája és elérhetőségei a http://jarasinfo.gov.hu holnapon érhetők el.</w:t>
      </w:r>
    </w:p>
    <w:p w14:paraId="23156BF5" w14:textId="77777777" w:rsidR="00EC00EE" w:rsidRPr="00C57EAD" w:rsidRDefault="00EC00EE" w:rsidP="00EC00EE">
      <w:pPr>
        <w:pStyle w:val="Listaszerbekezds"/>
        <w:numPr>
          <w:ilvl w:val="0"/>
          <w:numId w:val="15"/>
        </w:numPr>
        <w:spacing w:after="30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57EAD">
        <w:rPr>
          <w:rFonts w:ascii="Arial" w:eastAsia="Times New Roman" w:hAnsi="Arial" w:cs="Arial"/>
          <w:sz w:val="16"/>
          <w:szCs w:val="16"/>
          <w:lang w:eastAsia="hu-HU"/>
        </w:rPr>
        <w:t>Békéltető testület: A Honlapon valamint a ténylegesen elérhető szolgáltatás minőségével, biztonságosságával, valamint foglalással megvalósuló Egyedi Szerződés megkötésével és teljesítésével kapcsolatos fogyasztói jogvita bíróságon kívüli, békés rendezése céljából a Vendég eljárást kezdeményezhet a lakóhelye vagy tartózkodási helye szerint illetékes békéltető testületnél, illetve fordulhat Szolgáltató székhelye szerint illetékes szakmai kamara mellett működő békéltető testülethez.</w:t>
      </w:r>
      <w:r w:rsidRPr="00C57EAD">
        <w:rPr>
          <w:sz w:val="16"/>
          <w:szCs w:val="16"/>
        </w:rPr>
        <w:t xml:space="preserve"> </w:t>
      </w:r>
      <w:r w:rsidRPr="00C57EAD">
        <w:rPr>
          <w:rFonts w:ascii="Arial" w:eastAsia="Times New Roman" w:hAnsi="Arial" w:cs="Arial"/>
          <w:sz w:val="16"/>
          <w:szCs w:val="16"/>
          <w:lang w:eastAsia="hu-HU"/>
        </w:rPr>
        <w:t xml:space="preserve">Békéltető testületre vonatkozó szabályok alkalmazásában fogyasztónak minősül a külön törvény szerinti civil szervezet, egyház, társasház, lakásszövetkezet, mikro-, kis- és középvállalkozás is, aki árut vesz, rendel, kap, használ, igénybe vesz, vagy az áruval kapcsolatos kereskedelmi kommunikáció, ajánlat címzettje. Felhasználó jogosult a lakóhelye vagy tartózkodási helye alapján bármely békéltető testülethez jogosult fordulni a fogyasztói jogvita rendezése érdekében. Az illetékes békéltető testületek elérhetőségei megtalálhatóak a </w:t>
      </w:r>
      <w:hyperlink r:id="rId15" w:history="1">
        <w:r w:rsidRPr="00C57EAD">
          <w:rPr>
            <w:rStyle w:val="Hiperhivatkozs"/>
            <w:rFonts w:ascii="Arial" w:eastAsia="Times New Roman" w:hAnsi="Arial" w:cs="Arial"/>
            <w:sz w:val="16"/>
            <w:szCs w:val="16"/>
            <w:lang w:eastAsia="hu-HU"/>
          </w:rPr>
          <w:t>https://bekeltetes.hu/udvozlo?id=testuletek</w:t>
        </w:r>
      </w:hyperlink>
      <w:r w:rsidRPr="00C57EAD">
        <w:rPr>
          <w:rFonts w:ascii="Arial" w:eastAsia="Times New Roman" w:hAnsi="Arial" w:cs="Arial"/>
          <w:sz w:val="16"/>
          <w:szCs w:val="16"/>
          <w:lang w:eastAsia="hu-HU"/>
        </w:rPr>
        <w:t xml:space="preserve"> honlapon. A Szolgáltató köteles a békéltető testületi eljárásokban részt venni és együttműködni Felhasználóval. Jelen pont értelmében együttműködésnek minősül a válaszirat küldése is. Amennyiben Vendég a fogyasztói jogvitát online szeretné lefolytatni és rendezni, azt megteheti a http://ec.europa.eu/odr alatt található online vitarendezési platformon keresztül. </w:t>
      </w:r>
    </w:p>
    <w:p w14:paraId="23156BF6" w14:textId="77777777" w:rsidR="00EC00EE" w:rsidRPr="00C57EAD" w:rsidRDefault="00EC00EE" w:rsidP="00EC00EE">
      <w:pPr>
        <w:pStyle w:val="Listaszerbekezds"/>
        <w:numPr>
          <w:ilvl w:val="0"/>
          <w:numId w:val="15"/>
        </w:numPr>
        <w:spacing w:after="300" w:line="240" w:lineRule="auto"/>
        <w:jc w:val="both"/>
        <w:rPr>
          <w:rFonts w:ascii="Arial" w:eastAsia="Times New Roman" w:hAnsi="Arial" w:cs="Arial"/>
          <w:sz w:val="16"/>
          <w:szCs w:val="16"/>
          <w:lang w:eastAsia="hu-HU"/>
        </w:rPr>
      </w:pPr>
      <w:r w:rsidRPr="00C57EAD">
        <w:rPr>
          <w:rFonts w:ascii="Arial" w:eastAsia="Times New Roman" w:hAnsi="Arial" w:cs="Arial"/>
          <w:sz w:val="16"/>
          <w:szCs w:val="16"/>
          <w:lang w:eastAsia="hu-HU"/>
        </w:rPr>
        <w:t>Bírósági eljárás: A Vendég jogosult a fogyasztói jogvitából származó követeléseinek bíróság előtti érvényesítésére polgári eljárás keretében a Ptk., valamint a Polgári Perrendtartásról szóló 2016. évi CXXX. törvény rendelkezései szerint.</w:t>
      </w:r>
    </w:p>
    <w:p w14:paraId="5B3926AD" w14:textId="77777777" w:rsidR="00C57EAD" w:rsidRPr="00C57EAD" w:rsidRDefault="00C57EAD" w:rsidP="00C57EAD">
      <w:p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14:paraId="23156BF7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 Vendég betegsége, halála</w:t>
      </w:r>
    </w:p>
    <w:p w14:paraId="23156BF8" w14:textId="77777777" w:rsidR="00471AD6" w:rsidRPr="00471AD6" w:rsidRDefault="00471AD6" w:rsidP="00471AD6">
      <w:pPr>
        <w:rPr>
          <w:lang w:eastAsia="hu-HU"/>
        </w:rPr>
      </w:pPr>
    </w:p>
    <w:p w14:paraId="23156BF9" w14:textId="700C66D0" w:rsidR="00445AFE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Amennyiben a szállás-szolgáltatás igénybevételének időtartama alatt a Vendég megbetegszik, és maga nem képes saját érdekében eljárni, a Szolgáltató orvosi segítséget nem köteles felajánlani. A Vendég betegsége/halála esetén a Szolgáltató költségkompenzációra tarthat igényt a beteg/elhunyt hozzátartozója, örököse, illetőleg a számlafizetője részéről, az esetleges eljárási költségek, az elhalálozást megelőzően igénybevett szolgáltatások ellenértékének, és a betegség/haláleset kapcsán a felszerelésekben, berendezési tárgyakban keletkezett esetleges károk tekintetében.</w:t>
      </w:r>
    </w:p>
    <w:p w14:paraId="40E0182E" w14:textId="37B8C98F" w:rsidR="00206DAB" w:rsidRPr="00445AFE" w:rsidRDefault="00445AFE" w:rsidP="00445AFE">
      <w:pPr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br w:type="page"/>
      </w:r>
    </w:p>
    <w:p w14:paraId="23156BFA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lastRenderedPageBreak/>
        <w:t>Az adatkezelés biztonsága</w:t>
      </w:r>
    </w:p>
    <w:p w14:paraId="23156BFB" w14:textId="77777777" w:rsidR="00471AD6" w:rsidRPr="00471AD6" w:rsidRDefault="00471AD6" w:rsidP="00471AD6">
      <w:pPr>
        <w:rPr>
          <w:lang w:eastAsia="hu-HU"/>
        </w:rPr>
      </w:pPr>
    </w:p>
    <w:p w14:paraId="23156BFC" w14:textId="2BB92284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harmadik fél részére személyes adatokat nem ad ki, csak az érintett előzetes és kifejezett hozzájárulása</w:t>
      </w:r>
      <w:r w:rsidR="001410FA">
        <w:rPr>
          <w:rFonts w:ascii="Arial" w:eastAsia="Times New Roman" w:hAnsi="Arial" w:cs="Arial"/>
          <w:sz w:val="21"/>
          <w:szCs w:val="21"/>
          <w:lang w:eastAsia="hu-HU"/>
        </w:rPr>
        <w:t xml:space="preserve"> alapján, illetve a jogszabályi kötelezettségek teljesítése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1410FA">
        <w:rPr>
          <w:rFonts w:ascii="Arial" w:eastAsia="Times New Roman" w:hAnsi="Arial" w:cs="Arial"/>
          <w:sz w:val="21"/>
          <w:szCs w:val="21"/>
          <w:lang w:eastAsia="hu-HU"/>
        </w:rPr>
        <w:t>érdekében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 xml:space="preserve">. </w:t>
      </w:r>
    </w:p>
    <w:p w14:paraId="23156BFD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Vendég tudomásul veszi, hogy a Szolgáltató törvényi felhatalmazás alapján köteles a megkereső hatóság részére személyes adatot kiadni, amennyiben annak törvényi feltételei fennállnak. A törvényen, hatósági vagy bírósági határozaton alapuló adatszolgáltatással szemben a Vendég nem emelhet kifogást.</w:t>
      </w:r>
    </w:p>
    <w:p w14:paraId="23156BFE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 Szolgáltató kártérítési felelőssége</w:t>
      </w:r>
    </w:p>
    <w:p w14:paraId="23156BFF" w14:textId="77777777" w:rsidR="00471AD6" w:rsidRPr="00471AD6" w:rsidRDefault="00471AD6" w:rsidP="00471AD6">
      <w:pPr>
        <w:rPr>
          <w:lang w:eastAsia="hu-HU"/>
        </w:rPr>
      </w:pPr>
    </w:p>
    <w:p w14:paraId="23156C00" w14:textId="1DE4862B" w:rsidR="00206DAB" w:rsidRPr="00C57EAD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A Szolgáltató </w:t>
      </w:r>
      <w:r w:rsidR="00C57EAD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a szobákban/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apartmanban és az</w:t>
      </w:r>
      <w:r w:rsidR="00C57EAD" w:rsidRPr="00C57EAD">
        <w:rPr>
          <w:rFonts w:ascii="Arial" w:eastAsia="Times New Roman" w:hAnsi="Arial" w:cs="Arial"/>
          <w:sz w:val="21"/>
          <w:szCs w:val="21"/>
          <w:lang w:eastAsia="hu-HU"/>
        </w:rPr>
        <w:t xml:space="preserve">ok </w:t>
      </w:r>
      <w:r w:rsidRPr="00C57EAD">
        <w:rPr>
          <w:rFonts w:ascii="Arial" w:eastAsia="Times New Roman" w:hAnsi="Arial" w:cs="Arial"/>
          <w:sz w:val="21"/>
          <w:szCs w:val="21"/>
          <w:lang w:eastAsia="hu-HU"/>
        </w:rPr>
        <w:t>széfjében elhelyezett vagyontárgyakért felelősséget nem vállal.</w:t>
      </w:r>
    </w:p>
    <w:p w14:paraId="23156C01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felelőssége nem terjed ki azokra a káreseményekre sem, amelyek elháríthatatlan ok miatt következtek be, vagy azokat a Vendég maga okozta.</w:t>
      </w:r>
    </w:p>
    <w:p w14:paraId="23156C02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Értéktárgyakért, értékpapírokért és készpénzért a Szolgáltató csak akkor felelős, ha a dolgot megőrzésre kifejezetten átvette, vagy a kár olyan okból következett be, amelyért az általános szabályok szerint felelősséggel tartozik. Ebben az esetben a bizonyítás a Vendéget terheli.</w:t>
      </w:r>
    </w:p>
    <w:p w14:paraId="23156C03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Nem felel továbbá a Szolgáltató a nem rendeltetésszerű használatból eredő károkért.</w:t>
      </w:r>
    </w:p>
    <w:p w14:paraId="23156C04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Titoktartás</w:t>
      </w:r>
    </w:p>
    <w:p w14:paraId="23156C05" w14:textId="77777777" w:rsidR="00471AD6" w:rsidRPr="00471AD6" w:rsidRDefault="00471AD6" w:rsidP="00471AD6">
      <w:pPr>
        <w:rPr>
          <w:lang w:eastAsia="hu-HU"/>
        </w:rPr>
      </w:pPr>
    </w:p>
    <w:p w14:paraId="23156C06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a Szerződésben foglalt kötelezettsége teljesítése során köteles a személyes adatok védelméről és a közérdekű adatok nyilvánosságáról szóló törvény szabályainak megfelelően eljárni.</w:t>
      </w:r>
    </w:p>
    <w:p w14:paraId="23156C07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Vis major</w:t>
      </w:r>
    </w:p>
    <w:p w14:paraId="23156C08" w14:textId="77777777" w:rsidR="00471AD6" w:rsidRPr="00471AD6" w:rsidRDefault="00471AD6" w:rsidP="00471AD6">
      <w:pPr>
        <w:rPr>
          <w:lang w:eastAsia="hu-HU"/>
        </w:rPr>
      </w:pPr>
    </w:p>
    <w:p w14:paraId="23156C09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Azon ok, vagy körülmény (például; háború, tűz, árvíz, időjárásbeli viszontagság, áramhiány, sztrájk bekövetkezése), amely felett a fél nem bír ellenőrzéssel (vis major), bármely felet felmentik a Szerződésből eredő kötelességeik teljesítése alól, amíg ezen ok vagy körülmény fennáll.</w:t>
      </w:r>
    </w:p>
    <w:p w14:paraId="23156C0A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 teljesítés helye és a felek jogviszonyában alkalmazandó jog, eljáró bíróság</w:t>
      </w:r>
    </w:p>
    <w:p w14:paraId="23156C0B" w14:textId="77777777" w:rsidR="00471AD6" w:rsidRPr="00471AD6" w:rsidRDefault="00471AD6" w:rsidP="00471AD6">
      <w:pPr>
        <w:rPr>
          <w:lang w:eastAsia="hu-HU"/>
        </w:rPr>
      </w:pPr>
    </w:p>
    <w:p w14:paraId="23156C0C" w14:textId="77777777" w:rsidR="00EB354F" w:rsidRDefault="00EB354F" w:rsidP="00EB354F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 xml:space="preserve">A teljesítés helye az a hely, ahol az elszállásoló panzió </w:t>
      </w:r>
      <w:r w:rsidRPr="00EB354F">
        <w:rPr>
          <w:rFonts w:ascii="Arial" w:eastAsia="Times New Roman" w:hAnsi="Arial" w:cs="Arial"/>
          <w:sz w:val="21"/>
          <w:szCs w:val="21"/>
          <w:lang w:eastAsia="hu-HU"/>
        </w:rPr>
        <w:t xml:space="preserve">található. </w:t>
      </w:r>
    </w:p>
    <w:p w14:paraId="23156C0D" w14:textId="77777777" w:rsidR="00206DAB" w:rsidRPr="00A46DA6" w:rsidRDefault="00206DAB" w:rsidP="00EB354F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Valamennyi az elszállásolási szerződésből eredő vitával kapcsolatban a felek kikötik a Szolgáltató székhelye szerinti bíróság kizárólagos illetékességét.</w:t>
      </w:r>
    </w:p>
    <w:p w14:paraId="23156C0E" w14:textId="77777777" w:rsidR="00206DAB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és a Vendég közötti jogviszonyra a magyar jogszabályok rendelkezései az irányadóak.</w:t>
      </w:r>
    </w:p>
    <w:p w14:paraId="23156C0F" w14:textId="77777777" w:rsidR="00EB354F" w:rsidRDefault="00EB354F" w:rsidP="00EB354F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 xml:space="preserve">A személyes adatok védelméhez, valamint a közérdekű és a közérdekből nyilvános adatok megismeréséhez való jog érvényesülésének ellenőrzésére és ezek elősegítésére jogosult szerv:  </w:t>
      </w:r>
    </w:p>
    <w:tbl>
      <w:tblPr>
        <w:tblStyle w:val="Rcsostblzat"/>
        <w:tblW w:w="8646" w:type="dxa"/>
        <w:tblInd w:w="421" w:type="dxa"/>
        <w:tblLook w:val="04A0" w:firstRow="1" w:lastRow="0" w:firstColumn="1" w:lastColumn="0" w:noHBand="0" w:noVBand="1"/>
      </w:tblPr>
      <w:tblGrid>
        <w:gridCol w:w="2491"/>
        <w:gridCol w:w="6155"/>
      </w:tblGrid>
      <w:tr w:rsidR="00EB354F" w:rsidRPr="006D4037" w14:paraId="23156C12" w14:textId="77777777" w:rsidTr="00EB354F">
        <w:tc>
          <w:tcPr>
            <w:tcW w:w="2491" w:type="dxa"/>
            <w:shd w:val="clear" w:color="auto" w:fill="auto"/>
            <w:tcMar>
              <w:left w:w="108" w:type="dxa"/>
            </w:tcMar>
          </w:tcPr>
          <w:p w14:paraId="23156C10" w14:textId="77777777" w:rsidR="00EB354F" w:rsidRPr="00EB354F" w:rsidRDefault="00EB354F" w:rsidP="00EB354F">
            <w:pPr>
              <w:pStyle w:val="Nincstrkz"/>
              <w:rPr>
                <w:rFonts w:ascii="Arial" w:hAnsi="Arial" w:cs="Arial"/>
                <w:b/>
                <w:szCs w:val="20"/>
              </w:rPr>
            </w:pPr>
            <w:r w:rsidRPr="00EB354F">
              <w:rPr>
                <w:rFonts w:ascii="Arial" w:hAnsi="Arial" w:cs="Arial"/>
                <w:b/>
                <w:szCs w:val="20"/>
              </w:rPr>
              <w:lastRenderedPageBreak/>
              <w:t>Hivatalos név:</w:t>
            </w:r>
          </w:p>
        </w:tc>
        <w:tc>
          <w:tcPr>
            <w:tcW w:w="6155" w:type="dxa"/>
            <w:shd w:val="clear" w:color="auto" w:fill="auto"/>
            <w:tcMar>
              <w:left w:w="108" w:type="dxa"/>
            </w:tcMar>
          </w:tcPr>
          <w:p w14:paraId="23156C11" w14:textId="77777777" w:rsidR="00EB354F" w:rsidRPr="00EB354F" w:rsidRDefault="00EB354F" w:rsidP="009D0465">
            <w:pPr>
              <w:pStyle w:val="Nincstrkz"/>
              <w:rPr>
                <w:rFonts w:ascii="Arial" w:hAnsi="Arial" w:cs="Arial"/>
                <w:szCs w:val="20"/>
              </w:rPr>
            </w:pPr>
            <w:r w:rsidRPr="00EB354F">
              <w:rPr>
                <w:rFonts w:ascii="Arial" w:hAnsi="Arial" w:cs="Arial"/>
                <w:szCs w:val="20"/>
              </w:rPr>
              <w:t>Nemzeti Adatvédelmi és Információszabadság Hatóság (NAIH)</w:t>
            </w:r>
          </w:p>
        </w:tc>
      </w:tr>
      <w:tr w:rsidR="00EB354F" w:rsidRPr="006D4037" w14:paraId="23156C15" w14:textId="77777777" w:rsidTr="00EB354F">
        <w:tc>
          <w:tcPr>
            <w:tcW w:w="2491" w:type="dxa"/>
            <w:shd w:val="clear" w:color="auto" w:fill="auto"/>
            <w:tcMar>
              <w:left w:w="108" w:type="dxa"/>
            </w:tcMar>
          </w:tcPr>
          <w:p w14:paraId="23156C13" w14:textId="77777777" w:rsidR="00EB354F" w:rsidRPr="00EB354F" w:rsidRDefault="00EB354F" w:rsidP="009D0465">
            <w:pPr>
              <w:pStyle w:val="Nincstrkz"/>
              <w:rPr>
                <w:rFonts w:ascii="Arial" w:hAnsi="Arial" w:cs="Arial"/>
                <w:b/>
                <w:szCs w:val="20"/>
              </w:rPr>
            </w:pPr>
            <w:r w:rsidRPr="00EB354F">
              <w:rPr>
                <w:rFonts w:ascii="Arial" w:hAnsi="Arial" w:cs="Arial"/>
                <w:b/>
                <w:szCs w:val="20"/>
              </w:rPr>
              <w:t xml:space="preserve">Postai cím: </w:t>
            </w:r>
          </w:p>
        </w:tc>
        <w:tc>
          <w:tcPr>
            <w:tcW w:w="6155" w:type="dxa"/>
            <w:shd w:val="clear" w:color="auto" w:fill="auto"/>
            <w:tcMar>
              <w:left w:w="108" w:type="dxa"/>
            </w:tcMar>
          </w:tcPr>
          <w:p w14:paraId="23156C14" w14:textId="77777777" w:rsidR="00EB354F" w:rsidRPr="00EB354F" w:rsidRDefault="00EB354F" w:rsidP="009D0465">
            <w:pPr>
              <w:pStyle w:val="Nincstrkz"/>
              <w:rPr>
                <w:rFonts w:ascii="Arial" w:hAnsi="Arial" w:cs="Arial"/>
                <w:szCs w:val="20"/>
              </w:rPr>
            </w:pPr>
            <w:r w:rsidRPr="00EB354F">
              <w:rPr>
                <w:rFonts w:ascii="Arial" w:hAnsi="Arial" w:cs="Arial"/>
                <w:szCs w:val="20"/>
              </w:rPr>
              <w:t>1363 Budapest, Pf. 9.</w:t>
            </w:r>
          </w:p>
        </w:tc>
      </w:tr>
      <w:tr w:rsidR="00EB354F" w:rsidRPr="006D4037" w14:paraId="23156C18" w14:textId="77777777" w:rsidTr="00EB354F">
        <w:tc>
          <w:tcPr>
            <w:tcW w:w="2491" w:type="dxa"/>
            <w:shd w:val="clear" w:color="auto" w:fill="auto"/>
            <w:tcMar>
              <w:left w:w="108" w:type="dxa"/>
            </w:tcMar>
          </w:tcPr>
          <w:p w14:paraId="23156C16" w14:textId="77777777" w:rsidR="00EB354F" w:rsidRPr="00EB354F" w:rsidRDefault="00EB354F" w:rsidP="009D0465">
            <w:pPr>
              <w:pStyle w:val="Nincstrkz"/>
              <w:rPr>
                <w:rFonts w:ascii="Arial" w:hAnsi="Arial" w:cs="Arial"/>
                <w:b/>
                <w:szCs w:val="20"/>
              </w:rPr>
            </w:pPr>
            <w:r w:rsidRPr="00EB354F">
              <w:rPr>
                <w:rFonts w:ascii="Arial" w:hAnsi="Arial" w:cs="Arial"/>
                <w:b/>
                <w:szCs w:val="20"/>
              </w:rPr>
              <w:t>Telefonszám:</w:t>
            </w:r>
          </w:p>
        </w:tc>
        <w:tc>
          <w:tcPr>
            <w:tcW w:w="6155" w:type="dxa"/>
            <w:shd w:val="clear" w:color="auto" w:fill="auto"/>
            <w:tcMar>
              <w:left w:w="108" w:type="dxa"/>
            </w:tcMar>
          </w:tcPr>
          <w:p w14:paraId="23156C17" w14:textId="77777777" w:rsidR="00EB354F" w:rsidRPr="00EB354F" w:rsidRDefault="00EB354F" w:rsidP="009D0465">
            <w:pPr>
              <w:pStyle w:val="Nincstrkz"/>
              <w:rPr>
                <w:rFonts w:ascii="Arial" w:hAnsi="Arial" w:cs="Arial"/>
                <w:szCs w:val="20"/>
              </w:rPr>
            </w:pPr>
            <w:r w:rsidRPr="00EB354F">
              <w:rPr>
                <w:rFonts w:ascii="Arial" w:hAnsi="Arial" w:cs="Arial"/>
                <w:szCs w:val="20"/>
              </w:rPr>
              <w:t xml:space="preserve">+3613911400 </w:t>
            </w:r>
          </w:p>
        </w:tc>
      </w:tr>
      <w:tr w:rsidR="00EB354F" w:rsidRPr="006D4037" w14:paraId="23156C1B" w14:textId="77777777" w:rsidTr="00EB354F">
        <w:tc>
          <w:tcPr>
            <w:tcW w:w="2491" w:type="dxa"/>
            <w:shd w:val="clear" w:color="auto" w:fill="auto"/>
            <w:tcMar>
              <w:left w:w="108" w:type="dxa"/>
            </w:tcMar>
          </w:tcPr>
          <w:p w14:paraId="23156C19" w14:textId="77777777" w:rsidR="00EB354F" w:rsidRPr="00EB354F" w:rsidRDefault="00EB354F" w:rsidP="009D0465">
            <w:pPr>
              <w:pStyle w:val="Nincstrkz"/>
              <w:rPr>
                <w:rFonts w:ascii="Arial" w:hAnsi="Arial" w:cs="Arial"/>
                <w:b/>
                <w:szCs w:val="20"/>
              </w:rPr>
            </w:pPr>
            <w:r w:rsidRPr="00EB354F">
              <w:rPr>
                <w:rFonts w:ascii="Arial" w:hAnsi="Arial" w:cs="Arial"/>
                <w:b/>
                <w:szCs w:val="20"/>
              </w:rPr>
              <w:t xml:space="preserve">Email: </w:t>
            </w:r>
          </w:p>
        </w:tc>
        <w:tc>
          <w:tcPr>
            <w:tcW w:w="6155" w:type="dxa"/>
            <w:shd w:val="clear" w:color="auto" w:fill="auto"/>
            <w:tcMar>
              <w:left w:w="108" w:type="dxa"/>
            </w:tcMar>
          </w:tcPr>
          <w:p w14:paraId="23156C1A" w14:textId="77777777" w:rsidR="00EB354F" w:rsidRPr="00EB354F" w:rsidRDefault="00000000" w:rsidP="009D0465">
            <w:pPr>
              <w:pStyle w:val="Nincstrkz"/>
              <w:rPr>
                <w:rFonts w:ascii="Arial" w:hAnsi="Arial" w:cs="Arial"/>
                <w:szCs w:val="20"/>
              </w:rPr>
            </w:pPr>
            <w:hyperlink r:id="rId16">
              <w:r w:rsidR="00EB354F" w:rsidRPr="00EB354F">
                <w:rPr>
                  <w:rStyle w:val="Internet-hivatkozs"/>
                  <w:rFonts w:ascii="Arial" w:hAnsi="Arial" w:cs="Arial"/>
                </w:rPr>
                <w:t>ugyfelszolgalat@naih.hu</w:t>
              </w:r>
            </w:hyperlink>
          </w:p>
        </w:tc>
      </w:tr>
      <w:tr w:rsidR="00EB354F" w:rsidRPr="006D4037" w14:paraId="23156C1E" w14:textId="77777777" w:rsidTr="00EB354F">
        <w:tc>
          <w:tcPr>
            <w:tcW w:w="2491" w:type="dxa"/>
            <w:shd w:val="clear" w:color="auto" w:fill="auto"/>
            <w:tcMar>
              <w:left w:w="108" w:type="dxa"/>
            </w:tcMar>
          </w:tcPr>
          <w:p w14:paraId="23156C1C" w14:textId="77777777" w:rsidR="00EB354F" w:rsidRPr="00EB354F" w:rsidRDefault="00EB354F" w:rsidP="009D0465">
            <w:pPr>
              <w:pStyle w:val="Nincstrkz"/>
              <w:rPr>
                <w:rFonts w:ascii="Arial" w:hAnsi="Arial" w:cs="Arial"/>
                <w:b/>
                <w:szCs w:val="20"/>
              </w:rPr>
            </w:pPr>
            <w:r w:rsidRPr="00EB354F">
              <w:rPr>
                <w:rFonts w:ascii="Arial" w:hAnsi="Arial" w:cs="Arial"/>
                <w:b/>
                <w:szCs w:val="20"/>
              </w:rPr>
              <w:t>Weboldal:</w:t>
            </w:r>
          </w:p>
        </w:tc>
        <w:tc>
          <w:tcPr>
            <w:tcW w:w="6155" w:type="dxa"/>
            <w:shd w:val="clear" w:color="auto" w:fill="auto"/>
            <w:tcMar>
              <w:left w:w="108" w:type="dxa"/>
            </w:tcMar>
          </w:tcPr>
          <w:p w14:paraId="23156C1D" w14:textId="77777777" w:rsidR="00EB354F" w:rsidRPr="00EB354F" w:rsidRDefault="00000000" w:rsidP="009D0465">
            <w:pPr>
              <w:pStyle w:val="Nincstrkz"/>
              <w:rPr>
                <w:rFonts w:ascii="Arial" w:hAnsi="Arial" w:cs="Arial"/>
                <w:szCs w:val="20"/>
              </w:rPr>
            </w:pPr>
            <w:hyperlink r:id="rId17">
              <w:r w:rsidR="00EB354F" w:rsidRPr="00EB354F">
                <w:rPr>
                  <w:rStyle w:val="Internet-hivatkozs"/>
                  <w:rFonts w:ascii="Arial" w:hAnsi="Arial" w:cs="Arial"/>
                </w:rPr>
                <w:t>www.naih.hu</w:t>
              </w:r>
            </w:hyperlink>
          </w:p>
        </w:tc>
      </w:tr>
    </w:tbl>
    <w:p w14:paraId="23156C1F" w14:textId="77777777" w:rsidR="00EB354F" w:rsidRPr="00A46DA6" w:rsidRDefault="00EB354F" w:rsidP="00EB354F">
      <w:pPr>
        <w:pStyle w:val="Listaszerbekezds"/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</w:p>
    <w:p w14:paraId="23156C20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 honlapunk látogatóinak adatai</w:t>
      </w:r>
    </w:p>
    <w:p w14:paraId="23156C21" w14:textId="77777777" w:rsidR="00471AD6" w:rsidRPr="00471AD6" w:rsidRDefault="00471AD6" w:rsidP="00471AD6">
      <w:pPr>
        <w:rPr>
          <w:lang w:eastAsia="hu-HU"/>
        </w:rPr>
      </w:pPr>
    </w:p>
    <w:p w14:paraId="23156C22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az általa üzemeltetett weboldal látogatásakor sem a felhasználó IP címét, sem más személyes adatot nem rögzít. A weblap látogatása során szabadon és név nélkül biztosított a keresés. A Szolgáltató a név nélküli internetes látogatást kizárólag statisztikai célokra használja fel, internetes megjelenése optimalizálására, a rendszer biztonságának növelésére, a rögzített adatok nem tartalmaznak semminemű személyes adatot.</w:t>
      </w:r>
    </w:p>
    <w:p w14:paraId="23156C23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a Felhasználókra vonatkozó valamennyi adatot és tényt bizalmasan kezel, azokat kizárólag saját kutatás, statisztika készítéséhez használja fel.</w:t>
      </w:r>
    </w:p>
    <w:p w14:paraId="23156C24" w14:textId="77777777" w:rsidR="00206DAB" w:rsidRPr="00A46DA6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nem vállalja a felelősséget a már törölt, de az internetes keresőprogramok közreműködésével mégis archiválásra került, korábbi oldalaiért. Ezek eltávolításáról a keresőoldal működtetőjének kell gondoskodni.</w:t>
      </w:r>
    </w:p>
    <w:p w14:paraId="23156C25" w14:textId="77777777" w:rsidR="00206DAB" w:rsidRDefault="00206DAB" w:rsidP="005B3F00">
      <w:pPr>
        <w:pStyle w:val="Cmsor1"/>
        <w:numPr>
          <w:ilvl w:val="0"/>
          <w:numId w:val="7"/>
        </w:numPr>
        <w:rPr>
          <w:rFonts w:eastAsia="Times New Roman"/>
          <w:lang w:eastAsia="hu-HU"/>
        </w:rPr>
      </w:pPr>
      <w:r w:rsidRPr="005B3F00">
        <w:rPr>
          <w:rFonts w:eastAsia="Times New Roman"/>
          <w:lang w:eastAsia="hu-HU"/>
        </w:rPr>
        <w:t>Adatvédelmi nyilatkozat</w:t>
      </w:r>
    </w:p>
    <w:p w14:paraId="23156C26" w14:textId="77777777" w:rsidR="005B3F00" w:rsidRPr="005B3F00" w:rsidRDefault="005B3F00" w:rsidP="005B3F00">
      <w:pPr>
        <w:rPr>
          <w:lang w:eastAsia="hu-HU"/>
        </w:rPr>
      </w:pPr>
    </w:p>
    <w:p w14:paraId="23156C27" w14:textId="77777777" w:rsidR="00206DAB" w:rsidRDefault="00206DAB" w:rsidP="00066997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tevékenysége során kiemelten fontosnak tartja a személyes adatok védelmét. A rendelkezésére bocsátott személyes adatokat minden esetben a hatályos jogszabályoknak eleget téve kezeli, gondoskodik azok biztonságáról, megteszi azokat a technikai és szervezési intézkedéseket, valamint kialakítja azokat az eljárási szabályokat, amelyek a vonatkozó jogszabályok betartásához szükségesek.</w:t>
      </w:r>
      <w:r w:rsidR="00066997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Szolgáltató tevékenysége során a felhasználók adatait a Szolgáltató az Adatvédelmi törvény értelmében kizárólag szerződéskötési, számlázási, valamint saját reklámcéljaira használja fel.</w:t>
      </w:r>
    </w:p>
    <w:p w14:paraId="23156C28" w14:textId="77777777" w:rsidR="00EB354F" w:rsidRDefault="00EB354F" w:rsidP="00EB354F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>
        <w:rPr>
          <w:rFonts w:ascii="Arial" w:eastAsia="Times New Roman" w:hAnsi="Arial" w:cs="Arial"/>
          <w:sz w:val="21"/>
          <w:szCs w:val="21"/>
          <w:lang w:eastAsia="hu-HU"/>
        </w:rPr>
        <w:t xml:space="preserve">A Szolgáltató </w:t>
      </w:r>
      <w:r w:rsidRPr="00EB354F">
        <w:rPr>
          <w:rFonts w:ascii="Arial" w:eastAsia="Times New Roman" w:hAnsi="Arial" w:cs="Arial"/>
          <w:sz w:val="21"/>
          <w:szCs w:val="21"/>
          <w:lang w:eastAsia="hu-HU"/>
        </w:rPr>
        <w:t xml:space="preserve">a részére átadott vagy más 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módon a Szolgáltató </w:t>
      </w:r>
      <w:r w:rsidRPr="00EB354F">
        <w:rPr>
          <w:rFonts w:ascii="Arial" w:eastAsia="Times New Roman" w:hAnsi="Arial" w:cs="Arial"/>
          <w:sz w:val="21"/>
          <w:szCs w:val="21"/>
          <w:lang w:eastAsia="hu-HU"/>
        </w:rPr>
        <w:t>tudomására hozott, vagy bármely egyéb módon a</w:t>
      </w:r>
      <w:r>
        <w:rPr>
          <w:rFonts w:ascii="Arial" w:eastAsia="Times New Roman" w:hAnsi="Arial" w:cs="Arial"/>
          <w:sz w:val="21"/>
          <w:szCs w:val="21"/>
          <w:lang w:eastAsia="hu-HU"/>
        </w:rPr>
        <w:t xml:space="preserve"> Szolgáltató </w:t>
      </w:r>
      <w:r w:rsidRPr="00EB354F">
        <w:rPr>
          <w:rFonts w:ascii="Arial" w:eastAsia="Times New Roman" w:hAnsi="Arial" w:cs="Arial"/>
          <w:sz w:val="21"/>
          <w:szCs w:val="21"/>
          <w:lang w:eastAsia="hu-HU"/>
        </w:rPr>
        <w:t xml:space="preserve">tudomására jutott személyes adatokat az irányadó hatályos jogszabályokban foglalt rendelkezéseknek megfelelően, azokkal összhangban, bizalmasan az Adatkezelési tájékoztató szerint kezeli, továbbá gondoskodik azok biztonságáról és megteszi mindazokat a technikai és szervezési intézkedéseket, valamint kialakítja azokat az eljárási szabályokat, amelyeket az irányadó jogszabályok, így különösen a GDPR, valamint kiegészítetten az </w:t>
      </w:r>
      <w:proofErr w:type="spellStart"/>
      <w:r w:rsidRPr="00EB354F">
        <w:rPr>
          <w:rFonts w:ascii="Arial" w:eastAsia="Times New Roman" w:hAnsi="Arial" w:cs="Arial"/>
          <w:sz w:val="21"/>
          <w:szCs w:val="21"/>
          <w:lang w:eastAsia="hu-HU"/>
        </w:rPr>
        <w:t>Infot</w:t>
      </w:r>
      <w:r>
        <w:rPr>
          <w:rFonts w:ascii="Arial" w:eastAsia="Times New Roman" w:hAnsi="Arial" w:cs="Arial"/>
          <w:sz w:val="21"/>
          <w:szCs w:val="21"/>
          <w:lang w:eastAsia="hu-HU"/>
        </w:rPr>
        <w:t>v</w:t>
      </w:r>
      <w:proofErr w:type="spellEnd"/>
      <w:r>
        <w:rPr>
          <w:rFonts w:ascii="Arial" w:eastAsia="Times New Roman" w:hAnsi="Arial" w:cs="Arial"/>
          <w:sz w:val="21"/>
          <w:szCs w:val="21"/>
          <w:lang w:eastAsia="hu-HU"/>
        </w:rPr>
        <w:t xml:space="preserve">. számára előírnak. A Szolgáltató </w:t>
      </w:r>
      <w:r w:rsidRPr="00EB354F">
        <w:rPr>
          <w:rFonts w:ascii="Arial" w:eastAsia="Times New Roman" w:hAnsi="Arial" w:cs="Arial"/>
          <w:sz w:val="21"/>
          <w:szCs w:val="21"/>
          <w:lang w:eastAsia="hu-HU"/>
        </w:rPr>
        <w:t xml:space="preserve">a személyes adatokat kizárólag az adatkezelés céljának elérése érdekében, és kizárólag csak a szükséges mértékben és ideig kezeli. </w:t>
      </w:r>
    </w:p>
    <w:p w14:paraId="23156C29" w14:textId="77777777" w:rsidR="00EB354F" w:rsidRPr="00EB354F" w:rsidRDefault="00EB354F" w:rsidP="00EB354F">
      <w:pPr>
        <w:pStyle w:val="Listaszerbekezds"/>
        <w:numPr>
          <w:ilvl w:val="1"/>
          <w:numId w:val="14"/>
        </w:num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EB354F">
        <w:rPr>
          <w:rFonts w:ascii="Arial" w:eastAsia="Times New Roman" w:hAnsi="Arial" w:cs="Arial"/>
          <w:sz w:val="21"/>
          <w:szCs w:val="21"/>
          <w:lang w:eastAsia="hu-HU"/>
        </w:rPr>
        <w:t>Az adatkezeléssel kapcsol</w:t>
      </w:r>
      <w:r w:rsidR="00C4437C">
        <w:rPr>
          <w:rFonts w:ascii="Arial" w:eastAsia="Times New Roman" w:hAnsi="Arial" w:cs="Arial"/>
          <w:sz w:val="21"/>
          <w:szCs w:val="21"/>
          <w:lang w:eastAsia="hu-HU"/>
        </w:rPr>
        <w:t xml:space="preserve">atos részletes információkat a Szolgáltató </w:t>
      </w:r>
      <w:r w:rsidRPr="00EB354F">
        <w:rPr>
          <w:rFonts w:ascii="Arial" w:eastAsia="Times New Roman" w:hAnsi="Arial" w:cs="Arial"/>
          <w:sz w:val="21"/>
          <w:szCs w:val="21"/>
          <w:lang w:eastAsia="hu-HU"/>
        </w:rPr>
        <w:t>Adatkezelési Tájékoztatója tartalmazza, amely mindenkor elérhető a Honlapon.</w:t>
      </w:r>
    </w:p>
    <w:p w14:paraId="23156C2A" w14:textId="77777777" w:rsidR="00206DAB" w:rsidRPr="00A46DA6" w:rsidRDefault="00206DAB" w:rsidP="00066997">
      <w:pPr>
        <w:spacing w:after="300" w:line="240" w:lineRule="auto"/>
        <w:jc w:val="both"/>
        <w:rPr>
          <w:rFonts w:ascii="Arial" w:eastAsia="Times New Roman" w:hAnsi="Arial" w:cs="Arial"/>
          <w:sz w:val="21"/>
          <w:szCs w:val="21"/>
          <w:lang w:eastAsia="hu-HU"/>
        </w:rPr>
      </w:pPr>
      <w:r w:rsidRPr="00A46DA6">
        <w:rPr>
          <w:rFonts w:ascii="Arial" w:eastAsia="Times New Roman" w:hAnsi="Arial" w:cs="Arial"/>
          <w:sz w:val="21"/>
          <w:szCs w:val="21"/>
          <w:lang w:eastAsia="hu-HU"/>
        </w:rPr>
        <w:t>A szállás-szolgáltatási szerződés megkötése esetén Ön elfogadja, hogy elolvasta és megértette a fenti feltételeket és szabályokat, és egyetért az azokban foglaltakkal. Az ÁSZF a későbbiek során módosulhat, mely módosítást a Szolgáltató az apartmanján, illetve honlapján tüntet fel.</w:t>
      </w:r>
    </w:p>
    <w:p w14:paraId="23156C2B" w14:textId="5E5BBC00" w:rsidR="005B3F00" w:rsidRPr="005B3F00" w:rsidRDefault="005B3F00" w:rsidP="007C6056">
      <w:pPr>
        <w:spacing w:after="300" w:line="240" w:lineRule="auto"/>
        <w:rPr>
          <w:sz w:val="32"/>
          <w:szCs w:val="32"/>
        </w:rPr>
      </w:pPr>
      <w:r w:rsidRPr="00543336">
        <w:rPr>
          <w:rFonts w:ascii="Arial" w:eastAsia="Times New Roman" w:hAnsi="Arial" w:cs="Arial"/>
          <w:sz w:val="21"/>
          <w:szCs w:val="21"/>
          <w:lang w:eastAsia="hu-HU"/>
        </w:rPr>
        <w:t>Siófok</w:t>
      </w:r>
      <w:r w:rsidR="00206DAB" w:rsidRPr="00543336">
        <w:rPr>
          <w:rFonts w:ascii="Arial" w:eastAsia="Times New Roman" w:hAnsi="Arial" w:cs="Arial"/>
          <w:sz w:val="21"/>
          <w:szCs w:val="21"/>
          <w:lang w:eastAsia="hu-HU"/>
        </w:rPr>
        <w:t>,</w:t>
      </w:r>
      <w:r w:rsidRPr="00543336">
        <w:rPr>
          <w:rFonts w:ascii="Arial" w:eastAsia="Times New Roman" w:hAnsi="Arial" w:cs="Arial"/>
          <w:sz w:val="21"/>
          <w:szCs w:val="21"/>
          <w:lang w:eastAsia="hu-HU"/>
        </w:rPr>
        <w:t xml:space="preserve"> </w:t>
      </w:r>
      <w:r w:rsidR="00BD1DF1" w:rsidRPr="00543336">
        <w:rPr>
          <w:rFonts w:ascii="Arial" w:eastAsia="Times New Roman" w:hAnsi="Arial" w:cs="Arial"/>
          <w:sz w:val="21"/>
          <w:szCs w:val="21"/>
          <w:lang w:eastAsia="hu-HU"/>
        </w:rPr>
        <w:t>202</w:t>
      </w:r>
      <w:r w:rsidR="00445AFE" w:rsidRPr="00543336">
        <w:rPr>
          <w:rFonts w:ascii="Arial" w:eastAsia="Times New Roman" w:hAnsi="Arial" w:cs="Arial"/>
          <w:sz w:val="21"/>
          <w:szCs w:val="21"/>
          <w:lang w:eastAsia="hu-HU"/>
        </w:rPr>
        <w:t>4</w:t>
      </w:r>
      <w:r w:rsidR="00BD1DF1" w:rsidRPr="00543336">
        <w:rPr>
          <w:rFonts w:ascii="Arial" w:eastAsia="Times New Roman" w:hAnsi="Arial" w:cs="Arial"/>
          <w:sz w:val="21"/>
          <w:szCs w:val="21"/>
          <w:lang w:eastAsia="hu-HU"/>
        </w:rPr>
        <w:t xml:space="preserve">. </w:t>
      </w:r>
      <w:r w:rsidR="00445AFE" w:rsidRPr="00543336">
        <w:rPr>
          <w:rFonts w:ascii="Arial" w:eastAsia="Times New Roman" w:hAnsi="Arial" w:cs="Arial"/>
          <w:sz w:val="21"/>
          <w:szCs w:val="21"/>
          <w:lang w:eastAsia="hu-HU"/>
        </w:rPr>
        <w:t>01</w:t>
      </w:r>
      <w:r w:rsidR="00BD1DF1" w:rsidRPr="00543336">
        <w:rPr>
          <w:rFonts w:ascii="Arial" w:eastAsia="Times New Roman" w:hAnsi="Arial" w:cs="Arial"/>
          <w:sz w:val="21"/>
          <w:szCs w:val="21"/>
          <w:lang w:eastAsia="hu-HU"/>
        </w:rPr>
        <w:t xml:space="preserve">. </w:t>
      </w:r>
      <w:r w:rsidR="00445AFE" w:rsidRPr="00543336">
        <w:rPr>
          <w:rFonts w:ascii="Arial" w:eastAsia="Times New Roman" w:hAnsi="Arial" w:cs="Arial"/>
          <w:sz w:val="21"/>
          <w:szCs w:val="21"/>
          <w:lang w:eastAsia="hu-HU"/>
        </w:rPr>
        <w:t>17</w:t>
      </w:r>
      <w:r w:rsidRPr="00543336">
        <w:rPr>
          <w:rFonts w:ascii="Arial" w:eastAsia="Times New Roman" w:hAnsi="Arial" w:cs="Arial"/>
          <w:sz w:val="21"/>
          <w:szCs w:val="21"/>
          <w:lang w:eastAsia="hu-HU"/>
        </w:rPr>
        <w:t>.</w:t>
      </w:r>
    </w:p>
    <w:sectPr w:rsidR="005B3F00" w:rsidRPr="005B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342D9"/>
    <w:multiLevelType w:val="hybridMultilevel"/>
    <w:tmpl w:val="5FB2B2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43F2"/>
    <w:multiLevelType w:val="hybridMultilevel"/>
    <w:tmpl w:val="9E8E45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17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FE6FCD"/>
    <w:multiLevelType w:val="hybridMultilevel"/>
    <w:tmpl w:val="A1C8002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43006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A1444A"/>
    <w:multiLevelType w:val="hybridMultilevel"/>
    <w:tmpl w:val="3864AC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4043"/>
    <w:multiLevelType w:val="multilevel"/>
    <w:tmpl w:val="15C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1158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F62B35"/>
    <w:multiLevelType w:val="hybridMultilevel"/>
    <w:tmpl w:val="B1E074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C749F"/>
    <w:multiLevelType w:val="multilevel"/>
    <w:tmpl w:val="958A7698"/>
    <w:lvl w:ilvl="0">
      <w:start w:val="1"/>
      <w:numFmt w:val="upperRoman"/>
      <w:lvlText w:val="%1."/>
      <w:lvlJc w:val="righ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DE4DEC"/>
    <w:multiLevelType w:val="multilevel"/>
    <w:tmpl w:val="4B26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479D8"/>
    <w:multiLevelType w:val="hybridMultilevel"/>
    <w:tmpl w:val="D5024DB2"/>
    <w:lvl w:ilvl="0" w:tplc="1F5EA2C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4CCC"/>
    <w:multiLevelType w:val="multilevel"/>
    <w:tmpl w:val="958A7698"/>
    <w:lvl w:ilvl="0">
      <w:start w:val="1"/>
      <w:numFmt w:val="upperRoman"/>
      <w:lvlText w:val="%1."/>
      <w:lvlJc w:val="righ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39621D1"/>
    <w:multiLevelType w:val="hybridMultilevel"/>
    <w:tmpl w:val="7DE420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C1C73"/>
    <w:multiLevelType w:val="multilevel"/>
    <w:tmpl w:val="420424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5668922">
    <w:abstractNumId w:val="10"/>
  </w:num>
  <w:num w:numId="2" w16cid:durableId="1121261883">
    <w:abstractNumId w:val="6"/>
  </w:num>
  <w:num w:numId="3" w16cid:durableId="1323393287">
    <w:abstractNumId w:val="0"/>
  </w:num>
  <w:num w:numId="4" w16cid:durableId="330328772">
    <w:abstractNumId w:val="7"/>
  </w:num>
  <w:num w:numId="5" w16cid:durableId="347485705">
    <w:abstractNumId w:val="12"/>
  </w:num>
  <w:num w:numId="6" w16cid:durableId="245648179">
    <w:abstractNumId w:val="1"/>
  </w:num>
  <w:num w:numId="7" w16cid:durableId="1262496930">
    <w:abstractNumId w:val="9"/>
  </w:num>
  <w:num w:numId="8" w16cid:durableId="510874100">
    <w:abstractNumId w:val="2"/>
  </w:num>
  <w:num w:numId="9" w16cid:durableId="1992908650">
    <w:abstractNumId w:val="4"/>
  </w:num>
  <w:num w:numId="10" w16cid:durableId="1170412791">
    <w:abstractNumId w:val="8"/>
  </w:num>
  <w:num w:numId="11" w16cid:durableId="1848904266">
    <w:abstractNumId w:val="5"/>
  </w:num>
  <w:num w:numId="12" w16cid:durableId="1134251739">
    <w:abstractNumId w:val="13"/>
  </w:num>
  <w:num w:numId="13" w16cid:durableId="1547184595">
    <w:abstractNumId w:val="11"/>
  </w:num>
  <w:num w:numId="14" w16cid:durableId="382753333">
    <w:abstractNumId w:val="14"/>
  </w:num>
  <w:num w:numId="15" w16cid:durableId="1416703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AB"/>
    <w:rsid w:val="00066997"/>
    <w:rsid w:val="0008672C"/>
    <w:rsid w:val="001410FA"/>
    <w:rsid w:val="00206DAB"/>
    <w:rsid w:val="00257B96"/>
    <w:rsid w:val="003E2747"/>
    <w:rsid w:val="00445AFE"/>
    <w:rsid w:val="00471AD6"/>
    <w:rsid w:val="00543336"/>
    <w:rsid w:val="005B3F00"/>
    <w:rsid w:val="005F2635"/>
    <w:rsid w:val="006C7BF8"/>
    <w:rsid w:val="007B067B"/>
    <w:rsid w:val="007C6056"/>
    <w:rsid w:val="00880324"/>
    <w:rsid w:val="00961268"/>
    <w:rsid w:val="00A46DA6"/>
    <w:rsid w:val="00BD1DF1"/>
    <w:rsid w:val="00C4437C"/>
    <w:rsid w:val="00C57EAD"/>
    <w:rsid w:val="00C931BA"/>
    <w:rsid w:val="00CB2EF2"/>
    <w:rsid w:val="00DB3C22"/>
    <w:rsid w:val="00E141DD"/>
    <w:rsid w:val="00EB354F"/>
    <w:rsid w:val="00EC00EE"/>
    <w:rsid w:val="00F9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6B5F"/>
  <w15:chartTrackingRefBased/>
  <w15:docId w15:val="{C72664AF-6448-4504-AAC3-082E7D01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B3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206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06D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06D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06DA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0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46DA6"/>
    <w:pPr>
      <w:spacing w:after="0" w:line="240" w:lineRule="auto"/>
    </w:pPr>
    <w:rPr>
      <w:rFonts w:ascii="Times New Roman" w:eastAsia="Calibri" w:hAnsi="Times New Roman"/>
      <w:color w:val="00000A"/>
    </w:rPr>
  </w:style>
  <w:style w:type="table" w:styleId="Rcsostblzat">
    <w:name w:val="Table Grid"/>
    <w:basedOn w:val="Normltblzat"/>
    <w:uiPriority w:val="59"/>
    <w:rsid w:val="00A46DA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46DA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46DA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B3F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nternet-hivatkozs">
    <w:name w:val="Internet-hivatkozás"/>
    <w:basedOn w:val="Bekezdsalapbettpusa"/>
    <w:uiPriority w:val="99"/>
    <w:unhideWhenUsed/>
    <w:rsid w:val="00EB354F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410FA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61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ypsocafe.hu" TargetMode="External"/><Relationship Id="rId13" Type="http://schemas.openxmlformats.org/officeDocument/2006/relationships/hyperlink" Target="mailto:info@calypsocafe.h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lypsocafe.hu/" TargetMode="External"/><Relationship Id="rId17" Type="http://schemas.openxmlformats.org/officeDocument/2006/relationships/hyperlink" Target="http://www.naih.h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gyfelszolgalat@naih.h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lypsocafe.hu/adatkezelesi-tajekoztat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bekeltetes.hu/udvozlo?id=testuletek" TargetMode="External"/><Relationship Id="rId10" Type="http://schemas.openxmlformats.org/officeDocument/2006/relationships/hyperlink" Target="http://calypsocafe.h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siofokrooms@gmail.com" TargetMode="External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EAFFD39F81434084E5E29A48038397" ma:contentTypeVersion="11" ma:contentTypeDescription="Új dokumentum létrehozása." ma:contentTypeScope="" ma:versionID="3a9e029007d568876b321be6e26470bf">
  <xsd:schema xmlns:xsd="http://www.w3.org/2001/XMLSchema" xmlns:xs="http://www.w3.org/2001/XMLSchema" xmlns:p="http://schemas.microsoft.com/office/2006/metadata/properties" xmlns:ns2="1e05a9c0-32ac-469b-a7e2-bc01e51c1b07" xmlns:ns3="d0096707-8f1c-4e4b-97cf-937537a93df8" targetNamespace="http://schemas.microsoft.com/office/2006/metadata/properties" ma:root="true" ma:fieldsID="8574f14fda5726aa99a22fc28a892a84" ns2:_="" ns3:_="">
    <xsd:import namespace="1e05a9c0-32ac-469b-a7e2-bc01e51c1b07"/>
    <xsd:import namespace="d0096707-8f1c-4e4b-97cf-937537a93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9c0-32ac-469b-a7e2-bc01e51c1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7bccf2c8-4b82-41e7-b293-8e8d7ef5d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96707-8f1c-4e4b-97cf-937537a93df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b600267-5d10-4795-89af-c6107b338705}" ma:internalName="TaxCatchAll" ma:showField="CatchAllData" ma:web="d0096707-8f1c-4e4b-97cf-937537a93d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6786E-BDDE-471C-A0B6-10CEA47FC4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E02724-24D2-4046-B073-390D256AD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5a9c0-32ac-469b-a7e2-bc01e51c1b07"/>
    <ds:schemaRef ds:uri="d0096707-8f1c-4e4b-97cf-937537a93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CBE38B-8069-4EC1-BA3D-BEE8E63EB9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3914</Words>
  <Characters>27008</Characters>
  <Application>Microsoft Office Word</Application>
  <DocSecurity>0</DocSecurity>
  <Lines>225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FejesP</dc:creator>
  <cp:keywords/>
  <dc:description/>
  <cp:lastModifiedBy>Lavinia Kenesei</cp:lastModifiedBy>
  <cp:revision>4</cp:revision>
  <dcterms:created xsi:type="dcterms:W3CDTF">2024-05-06T18:44:00Z</dcterms:created>
  <dcterms:modified xsi:type="dcterms:W3CDTF">2024-05-06T20:10:00Z</dcterms:modified>
</cp:coreProperties>
</file>